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A3BE" w14:textId="77777777" w:rsidR="00784CED" w:rsidRPr="0059494B" w:rsidRDefault="00784CED" w:rsidP="00784CED">
      <w:pPr>
        <w:pStyle w:val="Prrafodelista"/>
        <w:numPr>
          <w:ilvl w:val="0"/>
          <w:numId w:val="15"/>
        </w:numPr>
        <w:ind w:left="0" w:firstLine="0"/>
        <w:jc w:val="both"/>
        <w:rPr>
          <w:rFonts w:asciiTheme="majorHAnsi" w:eastAsia="Calibri" w:hAnsiTheme="majorHAnsi" w:cstheme="majorHAnsi"/>
          <w:sz w:val="22"/>
          <w:szCs w:val="22"/>
        </w:rPr>
      </w:pPr>
      <w:r>
        <w:rPr>
          <w:rFonts w:asciiTheme="majorHAnsi" w:eastAsia="Calibri" w:hAnsiTheme="majorHAnsi" w:cstheme="majorHAnsi"/>
          <w:noProof/>
          <w:sz w:val="22"/>
          <w:szCs w:val="22"/>
        </w:rPr>
        <w:drawing>
          <wp:anchor distT="0" distB="0" distL="114300" distR="114300" simplePos="0" relativeHeight="251659264" behindDoc="0" locked="0" layoutInCell="1" allowOverlap="1" wp14:anchorId="3AF3B5BD" wp14:editId="328FD958">
            <wp:simplePos x="0" y="0"/>
            <wp:positionH relativeFrom="page">
              <wp:align>right</wp:align>
            </wp:positionH>
            <wp:positionV relativeFrom="page">
              <wp:align>top</wp:align>
            </wp:positionV>
            <wp:extent cx="7561516" cy="10660284"/>
            <wp:effectExtent l="0" t="0" r="1905" b="8255"/>
            <wp:wrapSquare wrapText="bothSides"/>
            <wp:docPr id="1641319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1938" name="Imagen 164131938"/>
                    <pic:cNvPicPr/>
                  </pic:nvPicPr>
                  <pic:blipFill>
                    <a:blip r:embed="rId7">
                      <a:extLst>
                        <a:ext uri="{28A0092B-C50C-407E-A947-70E740481C1C}">
                          <a14:useLocalDpi xmlns:a14="http://schemas.microsoft.com/office/drawing/2010/main" val="0"/>
                        </a:ext>
                      </a:extLst>
                    </a:blip>
                    <a:stretch>
                      <a:fillRect/>
                    </a:stretch>
                  </pic:blipFill>
                  <pic:spPr>
                    <a:xfrm>
                      <a:off x="0" y="0"/>
                      <a:ext cx="7561516" cy="10660284"/>
                    </a:xfrm>
                    <a:prstGeom prst="rect">
                      <a:avLst/>
                    </a:prstGeom>
                  </pic:spPr>
                </pic:pic>
              </a:graphicData>
            </a:graphic>
            <wp14:sizeRelH relativeFrom="margin">
              <wp14:pctWidth>0</wp14:pctWidth>
            </wp14:sizeRelH>
            <wp14:sizeRelV relativeFrom="margin">
              <wp14:pctHeight>0</wp14:pctHeight>
            </wp14:sizeRelV>
          </wp:anchor>
        </w:drawing>
      </w:r>
      <w:r w:rsidRPr="0059494B">
        <w:rPr>
          <w:rFonts w:asciiTheme="majorHAnsi" w:eastAsia="Calibri" w:hAnsiTheme="majorHAnsi" w:cstheme="majorHAnsi"/>
          <w:sz w:val="22"/>
          <w:szCs w:val="22"/>
        </w:rPr>
        <w:br w:type="page"/>
      </w:r>
    </w:p>
    <w:p w14:paraId="7D89569C" w14:textId="77777777" w:rsidR="00784CED" w:rsidRPr="00784CED" w:rsidRDefault="00784CED" w:rsidP="00784CED">
      <w:pPr>
        <w:pStyle w:val="Ttulo1"/>
        <w:spacing w:before="0" w:after="0"/>
        <w:jc w:val="center"/>
        <w:rPr>
          <w:rStyle w:val="Ttulodellibro"/>
          <w:rFonts w:asciiTheme="majorHAnsi" w:eastAsia="Calibri" w:hAnsiTheme="majorHAnsi" w:cstheme="majorHAnsi"/>
          <w:b/>
          <w:bCs w:val="0"/>
          <w:i w:val="0"/>
          <w:iCs w:val="0"/>
          <w:sz w:val="22"/>
          <w:szCs w:val="22"/>
        </w:rPr>
      </w:pPr>
      <w:bookmarkStart w:id="0" w:name="_Anexo_1:_Requisitos"/>
      <w:bookmarkStart w:id="1" w:name="_Toc144981555"/>
      <w:bookmarkStart w:id="2" w:name="_Hlk143791838"/>
      <w:bookmarkEnd w:id="0"/>
      <w:r w:rsidRPr="00784CED">
        <w:rPr>
          <w:rStyle w:val="Ttulodellibro"/>
          <w:rFonts w:asciiTheme="majorHAnsi" w:eastAsia="Calibri" w:hAnsiTheme="majorHAnsi" w:cstheme="majorHAnsi"/>
          <w:b/>
          <w:bCs w:val="0"/>
          <w:i w:val="0"/>
          <w:iCs w:val="0"/>
          <w:sz w:val="22"/>
          <w:szCs w:val="22"/>
        </w:rPr>
        <w:lastRenderedPageBreak/>
        <w:t>Anexo 1: Enfoques de acción climática de Perú Produce: Innovación Frente al Cambio Climático</w:t>
      </w:r>
      <w:bookmarkEnd w:id="1"/>
    </w:p>
    <w:p w14:paraId="18CC8D6B" w14:textId="77777777" w:rsidR="00784CED" w:rsidRPr="0059494B" w:rsidRDefault="00784CED" w:rsidP="00784CED">
      <w:pPr>
        <w:rPr>
          <w:rFonts w:asciiTheme="majorHAnsi" w:eastAsia="Calibri" w:hAnsiTheme="majorHAnsi" w:cstheme="majorHAnsi"/>
          <w:sz w:val="22"/>
          <w:szCs w:val="22"/>
        </w:rPr>
      </w:pPr>
    </w:p>
    <w:p w14:paraId="7A5A0754"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Style w:val="Ttulodellibro"/>
          <w:rFonts w:asciiTheme="majorHAnsi" w:eastAsia="Calibri" w:hAnsiTheme="majorHAnsi" w:cstheme="majorHAnsi"/>
          <w:sz w:val="22"/>
          <w:szCs w:val="22"/>
        </w:rPr>
        <w:t>Perú Produce: Innovación Frente al Cambio Climático</w:t>
      </w:r>
      <w:r w:rsidRPr="0059494B">
        <w:rPr>
          <w:rFonts w:asciiTheme="majorHAnsi" w:hAnsiTheme="majorHAnsi" w:cstheme="majorHAnsi"/>
          <w:sz w:val="22"/>
          <w:szCs w:val="22"/>
        </w:rPr>
        <w:t xml:space="preserve"> focaliza la estrategia de intervención de ProInnóvate en 6 enfoques de acción climática: bosques y agricultura,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59494B">
        <w:rPr>
          <w:rFonts w:asciiTheme="majorHAnsi" w:hAnsiTheme="majorHAnsi" w:cstheme="majorHAnsi"/>
          <w:sz w:val="22"/>
          <w:szCs w:val="22"/>
          <w:lang w:val="es-PE"/>
        </w:rPr>
        <w:t> </w:t>
      </w:r>
    </w:p>
    <w:p w14:paraId="6AD809F7"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7D032AA9"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r w:rsidRPr="0059494B">
        <w:rPr>
          <w:rFonts w:asciiTheme="majorHAnsi" w:hAnsiTheme="majorHAnsi" w:cstheme="majorHAnsi"/>
          <w:sz w:val="22"/>
          <w:szCs w:val="22"/>
          <w:lang w:val="es-PE"/>
        </w:rPr>
        <w:t> </w:t>
      </w:r>
    </w:p>
    <w:p w14:paraId="7D887ED1"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787607A4"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w:t>
      </w:r>
      <w:r w:rsidRPr="0059494B">
        <w:rPr>
          <w:rFonts w:asciiTheme="majorHAnsi" w:hAnsiTheme="majorHAnsi" w:cstheme="majorHAnsi"/>
          <w:sz w:val="22"/>
          <w:szCs w:val="22"/>
          <w:lang w:val="es-PE"/>
        </w:rPr>
        <w:t> </w:t>
      </w:r>
    </w:p>
    <w:p w14:paraId="6310182F"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7B7CBBC8" w14:textId="77777777" w:rsidR="00784CED" w:rsidRPr="0059494B" w:rsidRDefault="00784CED" w:rsidP="00784CED">
      <w:pPr>
        <w:numPr>
          <w:ilvl w:val="0"/>
          <w:numId w:val="16"/>
        </w:numPr>
        <w:shd w:val="clear" w:color="auto" w:fill="F2F2F2"/>
        <w:tabs>
          <w:tab w:val="clear" w:pos="720"/>
          <w:tab w:val="num" w:pos="0"/>
        </w:tabs>
        <w:ind w:left="0" w:hanging="11"/>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BOSQUES Y AGRICULTURA SOSTENIBLES</w:t>
      </w:r>
      <w:r w:rsidRPr="0059494B">
        <w:rPr>
          <w:rFonts w:asciiTheme="majorHAnsi" w:hAnsiTheme="majorHAnsi" w:cstheme="majorHAnsi"/>
          <w:sz w:val="22"/>
          <w:szCs w:val="22"/>
          <w:lang w:val="es-PE"/>
        </w:rPr>
        <w:t> </w:t>
      </w:r>
    </w:p>
    <w:p w14:paraId="7B3CD965"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686CEDB4"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rPr>
        <w:t>: </w:t>
      </w:r>
      <w:r w:rsidRPr="0059494B">
        <w:rPr>
          <w:rFonts w:asciiTheme="majorHAnsi" w:hAnsiTheme="majorHAnsi" w:cstheme="majorHAnsi"/>
          <w:sz w:val="22"/>
          <w:szCs w:val="22"/>
          <w:lang w:val="es-PE"/>
        </w:rPr>
        <w:t> </w:t>
      </w:r>
    </w:p>
    <w:p w14:paraId="35E7EF87"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1DDCDF6B"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el desarrollo de soluciones innovadoras para incentivar la eficiencia y resiliencia de las prácticas agrícolas y forestales, así como la conservación, gestión y recuperación de los bosques.</w:t>
      </w:r>
      <w:r w:rsidRPr="0059494B">
        <w:rPr>
          <w:rFonts w:asciiTheme="majorHAnsi" w:hAnsiTheme="majorHAnsi" w:cstheme="majorHAnsi"/>
          <w:sz w:val="22"/>
          <w:szCs w:val="22"/>
          <w:lang w:val="es-PE"/>
        </w:rPr>
        <w:t> </w:t>
      </w:r>
    </w:p>
    <w:p w14:paraId="3D73C963"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t> </w:t>
      </w: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1E01B9AD"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089"/>
      </w:tblGrid>
      <w:tr w:rsidR="00784CED" w:rsidRPr="0059494B" w14:paraId="45A110CE" w14:textId="77777777" w:rsidTr="00076D7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92D050"/>
            <w:hideMark/>
          </w:tcPr>
          <w:p w14:paraId="433CEC1A"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92D050"/>
            <w:hideMark/>
          </w:tcPr>
          <w:p w14:paraId="133A7B83"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a</w:t>
            </w:r>
            <w:r w:rsidRPr="0059494B">
              <w:rPr>
                <w:rFonts w:asciiTheme="majorHAnsi" w:hAnsiTheme="majorHAnsi" w:cstheme="majorHAnsi"/>
                <w:sz w:val="22"/>
                <w:szCs w:val="22"/>
                <w:lang w:val="es-PE"/>
              </w:rPr>
              <w:t> </w:t>
            </w:r>
          </w:p>
        </w:tc>
      </w:tr>
      <w:tr w:rsidR="00784CED" w:rsidRPr="0059494B" w14:paraId="0D03ABF3" w14:textId="77777777" w:rsidTr="00076D7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0E7BDD"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9B29CA2"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la madera forestal y otros productos de los bosques para incentivar el manejo forestal sostenible.</w:t>
            </w:r>
            <w:r w:rsidRPr="0059494B">
              <w:rPr>
                <w:rFonts w:asciiTheme="majorHAnsi" w:hAnsiTheme="majorHAnsi" w:cstheme="majorHAnsi"/>
                <w:sz w:val="22"/>
                <w:szCs w:val="22"/>
                <w:lang w:val="es-PE"/>
              </w:rPr>
              <w:t> </w:t>
            </w:r>
          </w:p>
          <w:p w14:paraId="542FDA67"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y tecnologías de información agroclimática estratégica (incluyendo modelos de predicción de clima y cultivos) y de información de mercado para la toma de decisiones de diversos actores.</w:t>
            </w:r>
            <w:r w:rsidRPr="0059494B">
              <w:rPr>
                <w:rFonts w:asciiTheme="majorHAnsi" w:hAnsiTheme="majorHAnsi" w:cstheme="majorHAnsi"/>
                <w:sz w:val="22"/>
                <w:szCs w:val="22"/>
                <w:lang w:val="es-PE"/>
              </w:rPr>
              <w:t> </w:t>
            </w:r>
          </w:p>
          <w:p w14:paraId="4ADA7C75"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el registro de semillas tradicionales adaptadas localmente para incrementar productividad de los cultivos.</w:t>
            </w:r>
            <w:r w:rsidRPr="0059494B">
              <w:rPr>
                <w:rFonts w:asciiTheme="majorHAnsi" w:hAnsiTheme="majorHAnsi" w:cstheme="majorHAnsi"/>
                <w:sz w:val="22"/>
                <w:szCs w:val="22"/>
                <w:lang w:val="es-PE"/>
              </w:rPr>
              <w:t> </w:t>
            </w:r>
          </w:p>
          <w:p w14:paraId="3AE56294"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1B1C558A" w14:textId="77777777" w:rsidTr="00076D7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0E83722"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4797F37C"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Manejo forestal sostenible que considere eficiencia energética, energías renovables y tecnologías de bajas emisiones y renovables.</w:t>
            </w:r>
            <w:r w:rsidRPr="0059494B">
              <w:rPr>
                <w:rFonts w:asciiTheme="majorHAnsi" w:hAnsiTheme="majorHAnsi" w:cstheme="majorHAnsi"/>
                <w:sz w:val="22"/>
                <w:szCs w:val="22"/>
                <w:lang w:val="es-PE"/>
              </w:rPr>
              <w:t> </w:t>
            </w:r>
          </w:p>
          <w:p w14:paraId="2B64B79C"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Identificación de volumen y flujo de residuos agrícolas, pecuarios y silvícolas para su valorización. </w:t>
            </w:r>
            <w:r w:rsidRPr="0059494B">
              <w:rPr>
                <w:rFonts w:asciiTheme="majorHAnsi" w:hAnsiTheme="majorHAnsi" w:cstheme="majorHAnsi"/>
                <w:sz w:val="22"/>
                <w:szCs w:val="22"/>
                <w:lang w:val="es-PE"/>
              </w:rPr>
              <w:t> </w:t>
            </w:r>
          </w:p>
          <w:p w14:paraId="51E4B429"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Diseño de procesos circulares con residuos con alto potencial de ser valorizados o incorporados en otras cadenas productivas.</w:t>
            </w:r>
            <w:r w:rsidRPr="0059494B">
              <w:rPr>
                <w:rFonts w:asciiTheme="majorHAnsi" w:hAnsiTheme="majorHAnsi" w:cstheme="majorHAnsi"/>
                <w:sz w:val="22"/>
                <w:szCs w:val="22"/>
                <w:lang w:val="es-PE"/>
              </w:rPr>
              <w:t> </w:t>
            </w:r>
          </w:p>
          <w:p w14:paraId="4DE07697"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aplicación y/ o adaptación de buenas prácticas agrícolas para maximizar el uso de recursos y rendimientos por cultivo.</w:t>
            </w:r>
            <w:r w:rsidRPr="0059494B">
              <w:rPr>
                <w:rFonts w:asciiTheme="majorHAnsi" w:hAnsiTheme="majorHAnsi" w:cstheme="majorHAnsi"/>
                <w:sz w:val="22"/>
                <w:szCs w:val="22"/>
                <w:lang w:val="es-PE"/>
              </w:rPr>
              <w:t> </w:t>
            </w:r>
          </w:p>
          <w:p w14:paraId="373255B3"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fertilización en los cultivos agrícolas que disminuyan el impacto ambiental negativos en agua y ecosistemas.</w:t>
            </w:r>
            <w:r w:rsidRPr="0059494B">
              <w:rPr>
                <w:rFonts w:asciiTheme="majorHAnsi" w:hAnsiTheme="majorHAnsi" w:cstheme="majorHAnsi"/>
                <w:sz w:val="22"/>
                <w:szCs w:val="22"/>
                <w:lang w:val="es-PE"/>
              </w:rPr>
              <w:t> </w:t>
            </w:r>
          </w:p>
          <w:p w14:paraId="210E7B83"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Sistemas de cadena de frío para productos de la biodiversidad.</w:t>
            </w:r>
            <w:r w:rsidRPr="0059494B">
              <w:rPr>
                <w:rFonts w:asciiTheme="majorHAnsi" w:hAnsiTheme="majorHAnsi" w:cstheme="majorHAnsi"/>
                <w:sz w:val="22"/>
                <w:szCs w:val="22"/>
                <w:lang w:val="es-PE"/>
              </w:rPr>
              <w:t> </w:t>
            </w:r>
          </w:p>
          <w:p w14:paraId="43A50F01"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Biotecnología para mejorar y diversificar la producción de cultivos altamente sensibles al cambio climático: resistencia a la sequía, menores requerimientos de agua y fertilizantes, entre otros.</w:t>
            </w:r>
            <w:r w:rsidRPr="0059494B">
              <w:rPr>
                <w:rFonts w:asciiTheme="majorHAnsi" w:hAnsiTheme="majorHAnsi" w:cstheme="majorHAnsi"/>
                <w:sz w:val="22"/>
                <w:szCs w:val="22"/>
                <w:lang w:val="es-PE"/>
              </w:rPr>
              <w:t> </w:t>
            </w:r>
          </w:p>
          <w:p w14:paraId="2E3D7EF8"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083CAF43" w14:textId="77777777" w:rsidR="00784CED" w:rsidRPr="0059494B" w:rsidRDefault="00784CED" w:rsidP="00784CED">
            <w:pPr>
              <w:numPr>
                <w:ilvl w:val="0"/>
                <w:numId w:val="22"/>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25F10663" w14:textId="77777777" w:rsidTr="00076D7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0A4B74"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adaptando tecnologías existentes</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AFD5D16" w14:textId="77777777" w:rsidR="00784CED" w:rsidRPr="0059494B" w:rsidRDefault="00784CED" w:rsidP="00784CED">
            <w:pPr>
              <w:numPr>
                <w:ilvl w:val="0"/>
                <w:numId w:val="23"/>
              </w:numPr>
              <w:tabs>
                <w:tab w:val="clear" w:pos="720"/>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tecnologías de sistemas agroforestales, bosques secundarios y restauración de bosques.</w:t>
            </w:r>
            <w:r w:rsidRPr="0059494B">
              <w:rPr>
                <w:rFonts w:asciiTheme="majorHAnsi" w:hAnsiTheme="majorHAnsi" w:cstheme="majorHAnsi"/>
                <w:sz w:val="22"/>
                <w:szCs w:val="22"/>
                <w:lang w:val="es-PE"/>
              </w:rPr>
              <w:t> </w:t>
            </w:r>
          </w:p>
          <w:p w14:paraId="34E8D475" w14:textId="77777777" w:rsidR="00784CED" w:rsidRPr="0059494B" w:rsidRDefault="00784CED" w:rsidP="00784CED">
            <w:pPr>
              <w:numPr>
                <w:ilvl w:val="0"/>
                <w:numId w:val="23"/>
              </w:numPr>
              <w:tabs>
                <w:tab w:val="clear" w:pos="720"/>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para nuevos usos productivos de los bosques.</w:t>
            </w:r>
            <w:r w:rsidRPr="0059494B">
              <w:rPr>
                <w:rFonts w:asciiTheme="majorHAnsi" w:hAnsiTheme="majorHAnsi" w:cstheme="majorHAnsi"/>
                <w:sz w:val="22"/>
                <w:szCs w:val="22"/>
                <w:lang w:val="es-PE"/>
              </w:rPr>
              <w:t> </w:t>
            </w:r>
          </w:p>
          <w:p w14:paraId="632B6092" w14:textId="77777777" w:rsidR="00784CED" w:rsidRPr="0059494B" w:rsidRDefault="00784CED" w:rsidP="00784CED">
            <w:pPr>
              <w:numPr>
                <w:ilvl w:val="0"/>
                <w:numId w:val="23"/>
              </w:numPr>
              <w:tabs>
                <w:tab w:val="clear" w:pos="720"/>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1224B99A" w14:textId="77777777" w:rsidR="00784CED" w:rsidRPr="0059494B" w:rsidRDefault="00784CED" w:rsidP="00784CED">
            <w:pPr>
              <w:numPr>
                <w:ilvl w:val="0"/>
                <w:numId w:val="23"/>
              </w:numPr>
              <w:tabs>
                <w:tab w:val="clear" w:pos="720"/>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2A8EDBB5" w14:textId="77777777" w:rsidR="00784CED"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458F7D21" w14:textId="77777777" w:rsidR="00784CED" w:rsidRPr="0059494B" w:rsidRDefault="00784CED" w:rsidP="00784CED">
      <w:pPr>
        <w:numPr>
          <w:ilvl w:val="0"/>
          <w:numId w:val="17"/>
        </w:numPr>
        <w:shd w:val="clear" w:color="auto" w:fill="F2F2F2" w:themeFill="background1" w:themeFillShade="F2"/>
        <w:tabs>
          <w:tab w:val="clear" w:pos="720"/>
        </w:tabs>
        <w:ind w:left="426" w:hanging="284"/>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ENERGÍA LIMPIA</w:t>
      </w:r>
      <w:r w:rsidRPr="0059494B">
        <w:rPr>
          <w:rFonts w:asciiTheme="majorHAnsi" w:hAnsiTheme="majorHAnsi" w:cstheme="majorHAnsi"/>
          <w:sz w:val="22"/>
          <w:szCs w:val="22"/>
          <w:lang w:val="es-PE"/>
        </w:rPr>
        <w:t> </w:t>
      </w:r>
    </w:p>
    <w:p w14:paraId="2CC034AE"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64B1BAF2"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rPr>
        <w:t>: </w:t>
      </w:r>
      <w:r w:rsidRPr="0059494B">
        <w:rPr>
          <w:rFonts w:asciiTheme="majorHAnsi" w:hAnsiTheme="majorHAnsi" w:cstheme="majorHAnsi"/>
          <w:sz w:val="22"/>
          <w:szCs w:val="22"/>
          <w:lang w:val="es-PE"/>
        </w:rPr>
        <w:t> </w:t>
      </w:r>
    </w:p>
    <w:p w14:paraId="115DB78C"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3574356"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descarbonización y descentralización de la energía con fuentes renovables y su uso eficiente en industrias, hogares y transporte.</w:t>
      </w:r>
      <w:r w:rsidRPr="0059494B">
        <w:rPr>
          <w:rFonts w:asciiTheme="majorHAnsi" w:hAnsiTheme="majorHAnsi" w:cstheme="majorHAnsi"/>
          <w:sz w:val="22"/>
          <w:szCs w:val="22"/>
          <w:lang w:val="es-PE"/>
        </w:rPr>
        <w:t> </w:t>
      </w:r>
    </w:p>
    <w:p w14:paraId="55BF0D09"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1D640776"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217EF0A4"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6108"/>
      </w:tblGrid>
      <w:tr w:rsidR="00784CED" w:rsidRPr="0059494B" w14:paraId="77BA673D" w14:textId="77777777" w:rsidTr="00076D70">
        <w:trPr>
          <w:trHeight w:val="45"/>
        </w:trPr>
        <w:tc>
          <w:tcPr>
            <w:tcW w:w="2385" w:type="dxa"/>
            <w:tcBorders>
              <w:top w:val="single" w:sz="6" w:space="0" w:color="000000"/>
              <w:left w:val="single" w:sz="6" w:space="0" w:color="000000"/>
              <w:bottom w:val="single" w:sz="6" w:space="0" w:color="000000"/>
              <w:right w:val="single" w:sz="6" w:space="0" w:color="000000"/>
            </w:tcBorders>
            <w:shd w:val="clear" w:color="auto" w:fill="92D050"/>
            <w:hideMark/>
          </w:tcPr>
          <w:p w14:paraId="1DE294F4"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92D050"/>
            <w:hideMark/>
          </w:tcPr>
          <w:p w14:paraId="18791229"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784CED" w:rsidRPr="0059494B" w14:paraId="5D8FF021" w14:textId="77777777" w:rsidTr="00076D70">
        <w:trPr>
          <w:trHeight w:val="49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177FC7"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DCF6F"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Mecanismos e instrumentos para determinar las áreas con mayor potencial de reducción energético en el sector manufacturero.</w:t>
            </w:r>
            <w:r w:rsidRPr="0059494B">
              <w:rPr>
                <w:rFonts w:asciiTheme="majorHAnsi" w:hAnsiTheme="majorHAnsi" w:cstheme="majorHAnsi"/>
                <w:sz w:val="22"/>
                <w:szCs w:val="22"/>
                <w:lang w:val="es-PE"/>
              </w:rPr>
              <w:t> </w:t>
            </w:r>
          </w:p>
          <w:p w14:paraId="285B9C82"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77567D28" w14:textId="77777777" w:rsidTr="00076D70">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C1813"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474EE"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Transición hacia la generación y distribución eficiente de energía de fuentes renovables y su aplicación en escenarios conectados o aislados a red.</w:t>
            </w:r>
            <w:r w:rsidRPr="0059494B">
              <w:rPr>
                <w:rFonts w:asciiTheme="majorHAnsi" w:hAnsiTheme="majorHAnsi" w:cstheme="majorHAnsi"/>
                <w:sz w:val="22"/>
                <w:szCs w:val="22"/>
                <w:lang w:val="es-PE"/>
              </w:rPr>
              <w:t> </w:t>
            </w:r>
          </w:p>
          <w:p w14:paraId="6E76BB2E"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producción de energía eléctrica mediante la valorización de residuos de otros sectores (</w:t>
            </w:r>
            <w:proofErr w:type="spellStart"/>
            <w:r w:rsidRPr="0059494B">
              <w:rPr>
                <w:rFonts w:asciiTheme="majorHAnsi" w:hAnsiTheme="majorHAnsi" w:cstheme="majorHAnsi"/>
                <w:i/>
                <w:iCs/>
                <w:sz w:val="22"/>
                <w:szCs w:val="22"/>
              </w:rPr>
              <w:t>waste</w:t>
            </w:r>
            <w:proofErr w:type="spellEnd"/>
            <w:r w:rsidRPr="0059494B">
              <w:rPr>
                <w:rFonts w:asciiTheme="majorHAnsi" w:hAnsiTheme="majorHAnsi" w:cstheme="majorHAnsi"/>
                <w:i/>
                <w:iCs/>
                <w:sz w:val="22"/>
                <w:szCs w:val="22"/>
              </w:rPr>
              <w:t xml:space="preserve"> </w:t>
            </w:r>
            <w:proofErr w:type="spellStart"/>
            <w:r w:rsidRPr="0059494B">
              <w:rPr>
                <w:rFonts w:asciiTheme="majorHAnsi" w:hAnsiTheme="majorHAnsi" w:cstheme="majorHAnsi"/>
                <w:i/>
                <w:iCs/>
                <w:sz w:val="22"/>
                <w:szCs w:val="22"/>
              </w:rPr>
              <w:t>to</w:t>
            </w:r>
            <w:proofErr w:type="spellEnd"/>
            <w:r w:rsidRPr="0059494B">
              <w:rPr>
                <w:rFonts w:asciiTheme="majorHAnsi" w:hAnsiTheme="majorHAnsi" w:cstheme="majorHAnsi"/>
                <w:i/>
                <w:iCs/>
                <w:sz w:val="22"/>
                <w:szCs w:val="22"/>
              </w:rPr>
              <w:t xml:space="preserve"> </w:t>
            </w:r>
            <w:proofErr w:type="spellStart"/>
            <w:r w:rsidRPr="0059494B">
              <w:rPr>
                <w:rFonts w:asciiTheme="majorHAnsi" w:hAnsiTheme="majorHAnsi" w:cstheme="majorHAnsi"/>
                <w:i/>
                <w:iCs/>
                <w:sz w:val="22"/>
                <w:szCs w:val="22"/>
              </w:rPr>
              <w:t>energy</w:t>
            </w:r>
            <w:proofErr w:type="spellEnd"/>
            <w:r w:rsidRPr="0059494B">
              <w:rPr>
                <w:rFonts w:asciiTheme="majorHAnsi" w:hAnsiTheme="majorHAnsi" w:cstheme="majorHAnsi"/>
                <w:sz w:val="22"/>
                <w:szCs w:val="22"/>
              </w:rPr>
              <w:t>).</w:t>
            </w:r>
            <w:r w:rsidRPr="0059494B">
              <w:rPr>
                <w:rFonts w:asciiTheme="majorHAnsi" w:hAnsiTheme="majorHAnsi" w:cstheme="majorHAnsi"/>
                <w:sz w:val="22"/>
                <w:szCs w:val="22"/>
                <w:lang w:val="es-PE"/>
              </w:rPr>
              <w:t> </w:t>
            </w:r>
          </w:p>
          <w:p w14:paraId="5BF7C30E"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carbono neutrales que permitan reducir emisiones de la cadena de suministro mineros.</w:t>
            </w:r>
            <w:r w:rsidRPr="0059494B">
              <w:rPr>
                <w:rFonts w:asciiTheme="majorHAnsi" w:hAnsiTheme="majorHAnsi" w:cstheme="majorHAnsi"/>
                <w:sz w:val="22"/>
                <w:szCs w:val="22"/>
                <w:lang w:val="es-PE"/>
              </w:rPr>
              <w:t> </w:t>
            </w:r>
          </w:p>
          <w:p w14:paraId="4B02C6ED"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Implementación de tecnologías bajas en emisiones de carbono que permitan un menor consumo eléctrico, uso de fuentes de energía renovables y equipos de alta eficiencia energética.</w:t>
            </w:r>
            <w:r w:rsidRPr="0059494B">
              <w:rPr>
                <w:rFonts w:asciiTheme="majorHAnsi" w:hAnsiTheme="majorHAnsi" w:cstheme="majorHAnsi"/>
                <w:sz w:val="22"/>
                <w:szCs w:val="22"/>
                <w:lang w:val="es-PE"/>
              </w:rPr>
              <w:t> </w:t>
            </w:r>
          </w:p>
          <w:p w14:paraId="44965FF1"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Equipos de alta eficiencia energética y tecnologías que permitan el aprovechamiento energético dentro una misma industria o con otras industrias.</w:t>
            </w:r>
            <w:r w:rsidRPr="0059494B">
              <w:rPr>
                <w:rFonts w:asciiTheme="majorHAnsi" w:hAnsiTheme="majorHAnsi" w:cstheme="majorHAnsi"/>
                <w:sz w:val="22"/>
                <w:szCs w:val="22"/>
                <w:lang w:val="es-PE"/>
              </w:rPr>
              <w:t> </w:t>
            </w:r>
          </w:p>
          <w:p w14:paraId="57EB8554"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protección de generación, transmisión y distribución de electricidad ante riesgos asociados al cambio climático.</w:t>
            </w:r>
            <w:r w:rsidRPr="0059494B">
              <w:rPr>
                <w:rFonts w:asciiTheme="majorHAnsi" w:hAnsiTheme="majorHAnsi" w:cstheme="majorHAnsi"/>
                <w:sz w:val="22"/>
                <w:szCs w:val="22"/>
                <w:lang w:val="es-PE"/>
              </w:rPr>
              <w:t> </w:t>
            </w:r>
          </w:p>
          <w:p w14:paraId="0166CD1F"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5FD7DD6D"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0287F417" w14:textId="77777777" w:rsidTr="00076D70">
        <w:trPr>
          <w:trHeight w:val="13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C55AD"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para el escalamiento de soluciones adaptando tecnologías existentes</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FA84A"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implementar y comunicar la promoción de energías renovables y eficiencia energética que permitan incorporar exitosamente las tecnologías ya existentes.</w:t>
            </w:r>
            <w:r w:rsidRPr="0059494B">
              <w:rPr>
                <w:rFonts w:asciiTheme="majorHAnsi" w:hAnsiTheme="majorHAnsi" w:cstheme="majorHAnsi"/>
                <w:sz w:val="22"/>
                <w:szCs w:val="22"/>
                <w:lang w:val="es-PE"/>
              </w:rPr>
              <w:t> </w:t>
            </w:r>
          </w:p>
          <w:p w14:paraId="7527DB92"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la movilidad baja en carbono en el país. </w:t>
            </w:r>
            <w:r w:rsidRPr="0059494B">
              <w:rPr>
                <w:rFonts w:asciiTheme="majorHAnsi" w:hAnsiTheme="majorHAnsi" w:cstheme="majorHAnsi"/>
                <w:sz w:val="22"/>
                <w:szCs w:val="22"/>
                <w:lang w:val="es-PE"/>
              </w:rPr>
              <w:t> </w:t>
            </w:r>
          </w:p>
          <w:p w14:paraId="151F7531"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de centros de distribución de energía para tecnologías para la movilidad baja en carbono (eléctrica o a gas natural). </w:t>
            </w:r>
            <w:r w:rsidRPr="0059494B">
              <w:rPr>
                <w:rFonts w:asciiTheme="majorHAnsi" w:hAnsiTheme="majorHAnsi" w:cstheme="majorHAnsi"/>
                <w:sz w:val="22"/>
                <w:szCs w:val="22"/>
                <w:lang w:val="es-PE"/>
              </w:rPr>
              <w:t> </w:t>
            </w:r>
          </w:p>
          <w:p w14:paraId="72DF83BB"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03CDA036" w14:textId="77777777" w:rsidR="00784CED" w:rsidRPr="0059494B" w:rsidRDefault="00784CED" w:rsidP="00784CED">
            <w:pPr>
              <w:numPr>
                <w:ilvl w:val="0"/>
                <w:numId w:val="24"/>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34ABB9DF" w14:textId="77777777" w:rsidR="00784CED"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B067D9A" w14:textId="77777777" w:rsidR="00784CED" w:rsidRPr="0059494B" w:rsidRDefault="00784CED" w:rsidP="00784CED">
      <w:pPr>
        <w:numPr>
          <w:ilvl w:val="0"/>
          <w:numId w:val="18"/>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EDIFICACIONES SOSTENIBLES</w:t>
      </w:r>
      <w:r w:rsidRPr="0059494B">
        <w:rPr>
          <w:rFonts w:asciiTheme="majorHAnsi" w:hAnsiTheme="majorHAnsi" w:cstheme="majorHAnsi"/>
          <w:sz w:val="22"/>
          <w:szCs w:val="22"/>
          <w:lang w:val="es-PE"/>
        </w:rPr>
        <w:t> </w:t>
      </w:r>
    </w:p>
    <w:p w14:paraId="030D4268"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2EB951DF"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1686936F"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43D2D560"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el desarrollo de viviendas sostenibles desde los procesos productivos necesarios para su construcción.</w:t>
      </w:r>
      <w:r w:rsidRPr="0059494B">
        <w:rPr>
          <w:rFonts w:asciiTheme="majorHAnsi" w:hAnsiTheme="majorHAnsi" w:cstheme="majorHAnsi"/>
          <w:sz w:val="22"/>
          <w:szCs w:val="22"/>
          <w:lang w:val="es-PE"/>
        </w:rPr>
        <w:t> </w:t>
      </w:r>
    </w:p>
    <w:p w14:paraId="0A50ABBB"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3D8CEF8"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3F88D61D"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5883"/>
      </w:tblGrid>
      <w:tr w:rsidR="00784CED" w:rsidRPr="0059494B" w14:paraId="29E53B14" w14:textId="77777777" w:rsidTr="00076D7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92D050"/>
            <w:hideMark/>
          </w:tcPr>
          <w:p w14:paraId="7F8ADE17"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92D050"/>
            <w:hideMark/>
          </w:tcPr>
          <w:p w14:paraId="0D77041B"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784CED" w:rsidRPr="0059494B" w14:paraId="230D0AAC" w14:textId="77777777" w:rsidTr="00076D7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83BBD"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B8BAD1"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MX"/>
              </w:rPr>
              <w:t>Recolección de datos de parámetros clave en viviendas para su gestión inteligente.</w:t>
            </w:r>
            <w:r w:rsidRPr="0059494B">
              <w:rPr>
                <w:rFonts w:asciiTheme="majorHAnsi" w:hAnsiTheme="majorHAnsi" w:cstheme="majorHAnsi"/>
                <w:sz w:val="22"/>
                <w:szCs w:val="22"/>
                <w:lang w:val="es-PE"/>
              </w:rPr>
              <w:t> </w:t>
            </w:r>
          </w:p>
          <w:p w14:paraId="3FE3D91D"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MX"/>
              </w:rPr>
              <w:t>Otros afines.</w:t>
            </w:r>
            <w:r w:rsidRPr="0059494B">
              <w:rPr>
                <w:rFonts w:asciiTheme="majorHAnsi" w:hAnsiTheme="majorHAnsi" w:cstheme="majorHAnsi"/>
                <w:sz w:val="22"/>
                <w:szCs w:val="22"/>
                <w:lang w:val="es-PE"/>
              </w:rPr>
              <w:t> </w:t>
            </w:r>
          </w:p>
        </w:tc>
      </w:tr>
      <w:tr w:rsidR="00784CED" w:rsidRPr="0059494B" w14:paraId="57CCE6E7" w14:textId="77777777" w:rsidTr="00076D70">
        <w:trPr>
          <w:trHeight w:val="4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5F39DB"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B6A70"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la valorización de los residuos de la construcción como nuevos materiales.</w:t>
            </w:r>
            <w:r w:rsidRPr="0059494B">
              <w:rPr>
                <w:rFonts w:asciiTheme="majorHAnsi" w:hAnsiTheme="majorHAnsi" w:cstheme="majorHAnsi"/>
                <w:sz w:val="22"/>
                <w:szCs w:val="22"/>
                <w:lang w:val="es-PE"/>
              </w:rPr>
              <w:t> </w:t>
            </w:r>
          </w:p>
          <w:p w14:paraId="586F2965"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 para tratamiento de residuos de la construcción (por ejemplo, lodos de las PTAR) que permitan diseñar procesos circulares.</w:t>
            </w:r>
            <w:r w:rsidRPr="0059494B">
              <w:rPr>
                <w:rFonts w:asciiTheme="majorHAnsi" w:hAnsiTheme="majorHAnsi" w:cstheme="majorHAnsi"/>
                <w:sz w:val="22"/>
                <w:szCs w:val="22"/>
                <w:lang w:val="es-PE"/>
              </w:rPr>
              <w:t> </w:t>
            </w:r>
          </w:p>
          <w:p w14:paraId="3B93F84F"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eficiencia, y reúso del agua en viviendas y edificios nuevos y construidos.</w:t>
            </w:r>
            <w:r w:rsidRPr="0059494B">
              <w:rPr>
                <w:rFonts w:asciiTheme="majorHAnsi" w:hAnsiTheme="majorHAnsi" w:cstheme="majorHAnsi"/>
                <w:sz w:val="22"/>
                <w:szCs w:val="22"/>
                <w:lang w:val="es-PE"/>
              </w:rPr>
              <w:t> </w:t>
            </w:r>
          </w:p>
          <w:p w14:paraId="36A9C8C4"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Diseño bioclimático ecológico y sostenible: tecnologías en torno al diseño bioclimático, con énfasis en la reducción y eficiencia en el consumo energético.</w:t>
            </w:r>
            <w:r w:rsidRPr="0059494B">
              <w:rPr>
                <w:rFonts w:asciiTheme="majorHAnsi" w:hAnsiTheme="majorHAnsi" w:cstheme="majorHAnsi"/>
                <w:sz w:val="22"/>
                <w:szCs w:val="22"/>
                <w:lang w:val="es-PE"/>
              </w:rPr>
              <w:t> </w:t>
            </w:r>
          </w:p>
          <w:p w14:paraId="2A87C76B"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35FA20E6"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591895A2" w14:textId="77777777" w:rsidTr="00076D70">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31377"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 xml:space="preserve">Nuevos modelos de negocio para el escalamiento de </w:t>
            </w:r>
            <w:r w:rsidRPr="0059494B">
              <w:rPr>
                <w:rFonts w:asciiTheme="majorHAnsi" w:hAnsiTheme="majorHAnsi" w:cstheme="majorHAnsi"/>
                <w:sz w:val="22"/>
                <w:szCs w:val="22"/>
              </w:rPr>
              <w:lastRenderedPageBreak/>
              <w:t>soluciones adaptando tecnologías existentes</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CEBD7B"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Diseño y masificación de viviendas con nuevos materiales y sistemas constructivos: modelos de negocio que permitan masificar nuevos materiales de construcción.</w:t>
            </w:r>
            <w:r w:rsidRPr="0059494B">
              <w:rPr>
                <w:rFonts w:asciiTheme="majorHAnsi" w:hAnsiTheme="majorHAnsi" w:cstheme="majorHAnsi"/>
                <w:sz w:val="22"/>
                <w:szCs w:val="22"/>
                <w:lang w:val="es-PE"/>
              </w:rPr>
              <w:t> </w:t>
            </w:r>
          </w:p>
          <w:p w14:paraId="0E47FE30"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para la valorización de los residuos de la construcción como nuevos materiales de construcción.</w:t>
            </w:r>
            <w:r w:rsidRPr="0059494B">
              <w:rPr>
                <w:rFonts w:asciiTheme="majorHAnsi" w:hAnsiTheme="majorHAnsi" w:cstheme="majorHAnsi"/>
                <w:sz w:val="22"/>
                <w:szCs w:val="22"/>
                <w:lang w:val="es-PE"/>
              </w:rPr>
              <w:t> </w:t>
            </w:r>
          </w:p>
          <w:p w14:paraId="7AEF3D7E"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4717049B" w14:textId="77777777" w:rsidR="00784CED" w:rsidRPr="0059494B" w:rsidRDefault="00784CED" w:rsidP="00784CED">
            <w:pPr>
              <w:numPr>
                <w:ilvl w:val="0"/>
                <w:numId w:val="25"/>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1F315433" w14:textId="77777777" w:rsidR="00784CED"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4277F508" w14:textId="77777777" w:rsidR="00784CED" w:rsidRPr="0059494B" w:rsidRDefault="00784CED" w:rsidP="00784CED">
      <w:pPr>
        <w:numPr>
          <w:ilvl w:val="0"/>
          <w:numId w:val="19"/>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PESCA RESILIENTE</w:t>
      </w:r>
      <w:r w:rsidRPr="0059494B">
        <w:rPr>
          <w:rFonts w:asciiTheme="majorHAnsi" w:hAnsiTheme="majorHAnsi" w:cstheme="majorHAnsi"/>
          <w:sz w:val="22"/>
          <w:szCs w:val="22"/>
          <w:lang w:val="es-PE"/>
        </w:rPr>
        <w:t> </w:t>
      </w:r>
    </w:p>
    <w:p w14:paraId="0EFFF8D8"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CFA2E25"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74C8F357"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C2C4FC2"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resiliencia de la actividad pesquera y acuícola al cambio climático incorporando innovación en prácticas, modelos y estrategias para su escalamiento.</w:t>
      </w: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t> </w:t>
      </w:r>
    </w:p>
    <w:p w14:paraId="2AFCA8C2"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39E2E7CE"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24"/>
      </w:tblGrid>
      <w:tr w:rsidR="00784CED" w:rsidRPr="0059494B" w14:paraId="4A75F752" w14:textId="77777777" w:rsidTr="00076D7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50E38EB2"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92D050"/>
            <w:hideMark/>
          </w:tcPr>
          <w:p w14:paraId="44E619BB"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784CED" w:rsidRPr="0059494B" w14:paraId="13D854D6" w14:textId="77777777" w:rsidTr="00076D70">
        <w:trPr>
          <w:trHeight w:val="157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DDD35"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BFA9F"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w:t>
            </w:r>
            <w:r w:rsidRPr="0059494B">
              <w:rPr>
                <w:rFonts w:asciiTheme="majorHAnsi" w:hAnsiTheme="majorHAnsi" w:cstheme="majorHAnsi"/>
                <w:sz w:val="22"/>
                <w:szCs w:val="22"/>
                <w:lang w:val="es-PE"/>
              </w:rPr>
              <w:t> </w:t>
            </w:r>
          </w:p>
          <w:p w14:paraId="690A5A5C"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Obtención de datos de mercado y de las condiciones oceanográficas en tiempo real para crear planes y herramientas para la respuesta temprana ante los peligros asociados al cambio climático y sus eventos extremos.</w:t>
            </w:r>
            <w:r w:rsidRPr="0059494B">
              <w:rPr>
                <w:rFonts w:asciiTheme="majorHAnsi" w:hAnsiTheme="majorHAnsi" w:cstheme="majorHAnsi"/>
                <w:sz w:val="22"/>
                <w:szCs w:val="22"/>
                <w:lang w:val="es-PE"/>
              </w:rPr>
              <w:t> </w:t>
            </w:r>
          </w:p>
          <w:p w14:paraId="4D3968E4"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productos pesqueros y acuícolas para rastrear y verificar el origen, la calidad y el transporte de los productos.</w:t>
            </w:r>
            <w:r w:rsidRPr="0059494B">
              <w:rPr>
                <w:rFonts w:asciiTheme="majorHAnsi" w:hAnsiTheme="majorHAnsi" w:cstheme="majorHAnsi"/>
                <w:sz w:val="22"/>
                <w:szCs w:val="22"/>
                <w:lang w:val="es-PE"/>
              </w:rPr>
              <w:t> </w:t>
            </w:r>
          </w:p>
          <w:p w14:paraId="2E79DB21"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2E74BA44" w14:textId="77777777" w:rsidTr="00076D70">
        <w:trPr>
          <w:trHeight w:val="76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B5308"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D4A14"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y estrategias que brinden mayor resiliencia y capacidad de adaptación en las cadenas de valor de pesca y acuicultura, con enfoque en aquellas que permitan mejor la cadena de frío del sector.</w:t>
            </w:r>
            <w:r w:rsidRPr="0059494B">
              <w:rPr>
                <w:rFonts w:asciiTheme="majorHAnsi" w:hAnsiTheme="majorHAnsi" w:cstheme="majorHAnsi"/>
                <w:sz w:val="22"/>
                <w:szCs w:val="22"/>
                <w:lang w:val="es-PE"/>
              </w:rPr>
              <w:t> </w:t>
            </w:r>
          </w:p>
          <w:p w14:paraId="053F9199"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la eficiencia en el uso de recursos y residuos de pesca y acuicultura.</w:t>
            </w:r>
            <w:r w:rsidRPr="0059494B">
              <w:rPr>
                <w:rFonts w:asciiTheme="majorHAnsi" w:hAnsiTheme="majorHAnsi" w:cstheme="majorHAnsi"/>
                <w:sz w:val="22"/>
                <w:szCs w:val="22"/>
                <w:lang w:val="es-PE"/>
              </w:rPr>
              <w:t> </w:t>
            </w:r>
          </w:p>
          <w:p w14:paraId="72C15420"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adaptativas para mejorar el rendimiento de los recursos hidrobiológicos y protección de la infraestructura pesquera y acuícola con criterios de sostenibilidad ambiental y social.</w:t>
            </w:r>
            <w:r w:rsidRPr="0059494B">
              <w:rPr>
                <w:rFonts w:asciiTheme="majorHAnsi" w:hAnsiTheme="majorHAnsi" w:cstheme="majorHAnsi"/>
                <w:sz w:val="22"/>
                <w:szCs w:val="22"/>
                <w:lang w:val="es-PE"/>
              </w:rPr>
              <w:t> </w:t>
            </w:r>
          </w:p>
          <w:p w14:paraId="7DC53CA4"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12B46ADF"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58725975" w14:textId="77777777" w:rsidTr="00076D70">
        <w:trPr>
          <w:trHeight w:val="11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A8098"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42268"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Soluciones de transferencia de conocimientos tecnológicos en la cadena productiva, con énfasis a la adaptación al cambio climático, principalmente al sector de pesca artesanal.</w:t>
            </w:r>
            <w:r w:rsidRPr="0059494B">
              <w:rPr>
                <w:rFonts w:asciiTheme="majorHAnsi" w:hAnsiTheme="majorHAnsi" w:cstheme="majorHAnsi"/>
                <w:sz w:val="22"/>
                <w:szCs w:val="22"/>
                <w:lang w:val="es-PE"/>
              </w:rPr>
              <w:t> </w:t>
            </w:r>
          </w:p>
          <w:p w14:paraId="6D68CBCA"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negocios, estrategias y soluciones basadas en la naturaleza para el fortalecimiento y diversificación de la economía azul del Perú.</w:t>
            </w:r>
            <w:r w:rsidRPr="0059494B">
              <w:rPr>
                <w:rFonts w:asciiTheme="majorHAnsi" w:hAnsiTheme="majorHAnsi" w:cstheme="majorHAnsi"/>
                <w:sz w:val="22"/>
                <w:szCs w:val="22"/>
                <w:lang w:val="es-PE"/>
              </w:rPr>
              <w:t> </w:t>
            </w:r>
          </w:p>
          <w:p w14:paraId="685F06AE"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20903C9F" w14:textId="77777777" w:rsidR="00784CED" w:rsidRPr="0059494B" w:rsidRDefault="00784CED" w:rsidP="00784CED">
            <w:pPr>
              <w:numPr>
                <w:ilvl w:val="0"/>
                <w:numId w:val="26"/>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35DEB219" w14:textId="77777777" w:rsidR="00784CED"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3B6345B2" w14:textId="77777777" w:rsidR="00784CED" w:rsidRPr="0059494B" w:rsidRDefault="00784CED" w:rsidP="00784CED">
      <w:pPr>
        <w:numPr>
          <w:ilvl w:val="0"/>
          <w:numId w:val="20"/>
        </w:numPr>
        <w:shd w:val="clear" w:color="auto" w:fill="F2F2F2" w:themeFill="background1" w:themeFillShade="F2"/>
        <w:ind w:hanging="578"/>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ECONOMÍA CIRCULAR</w:t>
      </w:r>
      <w:r w:rsidRPr="0059494B">
        <w:rPr>
          <w:rFonts w:asciiTheme="majorHAnsi" w:hAnsiTheme="majorHAnsi" w:cstheme="majorHAnsi"/>
          <w:sz w:val="22"/>
          <w:szCs w:val="22"/>
          <w:lang w:val="es-PE"/>
        </w:rPr>
        <w:t> </w:t>
      </w:r>
    </w:p>
    <w:p w14:paraId="6A75849E"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96DA220"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3DF181B6"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750A0605"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modelos de economía circular desde el diseño de las propuestas de valor en todos los sectores y entre sectores como catalizador de la innovación. </w:t>
      </w:r>
      <w:r w:rsidRPr="0059494B">
        <w:rPr>
          <w:rFonts w:asciiTheme="majorHAnsi" w:hAnsiTheme="majorHAnsi" w:cstheme="majorHAnsi"/>
          <w:sz w:val="22"/>
          <w:szCs w:val="22"/>
          <w:lang w:val="es-PE"/>
        </w:rPr>
        <w:t> </w:t>
      </w:r>
    </w:p>
    <w:p w14:paraId="1C95E508"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D801715"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76025CCA"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10"/>
      </w:tblGrid>
      <w:tr w:rsidR="00784CED" w:rsidRPr="0059494B" w14:paraId="120F561A" w14:textId="77777777" w:rsidTr="00076D70">
        <w:trPr>
          <w:trHeight w:val="347"/>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53AE9B41"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92D050"/>
            <w:hideMark/>
          </w:tcPr>
          <w:p w14:paraId="6C86FFC7"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784CED" w:rsidRPr="0059494B" w14:paraId="6874518F" w14:textId="77777777" w:rsidTr="00076D70">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66F0FE"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384067"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obtener datos para identificar potenciales proyectos de simbiosis industrial o procesos susceptibles a incorporar criterios de circularidad.</w:t>
            </w:r>
            <w:r w:rsidRPr="0059494B">
              <w:rPr>
                <w:rFonts w:asciiTheme="majorHAnsi" w:hAnsiTheme="majorHAnsi" w:cstheme="majorHAnsi"/>
                <w:sz w:val="22"/>
                <w:szCs w:val="22"/>
                <w:lang w:val="es-PE"/>
              </w:rPr>
              <w:t> </w:t>
            </w:r>
          </w:p>
          <w:p w14:paraId="2A0B7A46"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materiales desechados a lo largo de las cadenas productivas para su reaprovechamiento y/o diseños que incorporen la eliminación de residuos.</w:t>
            </w:r>
            <w:r w:rsidRPr="0059494B">
              <w:rPr>
                <w:rFonts w:asciiTheme="majorHAnsi" w:hAnsiTheme="majorHAnsi" w:cstheme="majorHAnsi"/>
                <w:sz w:val="22"/>
                <w:szCs w:val="22"/>
                <w:lang w:val="es-PE"/>
              </w:rPr>
              <w:t> </w:t>
            </w:r>
          </w:p>
          <w:p w14:paraId="155E9484"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52D25253" w14:textId="77777777" w:rsidTr="00076D7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9D156"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90A9C8"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de residuos aprovechables en la cadena de valor dentro de las actividades de un mismo sector económico o entre sectores (simbiosis industrial).</w:t>
            </w:r>
            <w:r w:rsidRPr="0059494B">
              <w:rPr>
                <w:rFonts w:asciiTheme="majorHAnsi" w:hAnsiTheme="majorHAnsi" w:cstheme="majorHAnsi"/>
                <w:sz w:val="22"/>
                <w:szCs w:val="22"/>
                <w:lang w:val="es-PE"/>
              </w:rPr>
              <w:t> </w:t>
            </w:r>
          </w:p>
          <w:p w14:paraId="3FCE39D2"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faciliten la transición hacia procesos circulares.</w:t>
            </w:r>
            <w:r w:rsidRPr="0059494B">
              <w:rPr>
                <w:rFonts w:asciiTheme="majorHAnsi" w:hAnsiTheme="majorHAnsi" w:cstheme="majorHAnsi"/>
                <w:sz w:val="22"/>
                <w:szCs w:val="22"/>
                <w:lang w:val="es-PE"/>
              </w:rPr>
              <w:t> </w:t>
            </w:r>
          </w:p>
          <w:p w14:paraId="658CF0CC"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Innovación de materiales e insumos con mayor potencial de implementar la economía circular en actividades de diversas industrias.</w:t>
            </w:r>
            <w:r w:rsidRPr="0059494B">
              <w:rPr>
                <w:rFonts w:asciiTheme="majorHAnsi" w:hAnsiTheme="majorHAnsi" w:cstheme="majorHAnsi"/>
                <w:sz w:val="22"/>
                <w:szCs w:val="22"/>
                <w:lang w:val="es-PE"/>
              </w:rPr>
              <w:t> </w:t>
            </w:r>
          </w:p>
          <w:p w14:paraId="6AFEB532"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el uso eficiente de recursos en procesos de producción, por ejemplo, a través de automatización, plataformas de información y uso de simuladores, entre otros.</w:t>
            </w:r>
            <w:r w:rsidRPr="0059494B">
              <w:rPr>
                <w:rFonts w:asciiTheme="majorHAnsi" w:hAnsiTheme="majorHAnsi" w:cstheme="majorHAnsi"/>
                <w:sz w:val="22"/>
                <w:szCs w:val="22"/>
                <w:lang w:val="es-PE"/>
              </w:rPr>
              <w:t> </w:t>
            </w:r>
          </w:p>
          <w:p w14:paraId="487A3F5E"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reaprovechamiento de pasivos ambientales de la minería.</w:t>
            </w:r>
            <w:r w:rsidRPr="0059494B">
              <w:rPr>
                <w:rFonts w:asciiTheme="majorHAnsi" w:hAnsiTheme="majorHAnsi" w:cstheme="majorHAnsi"/>
                <w:sz w:val="22"/>
                <w:szCs w:val="22"/>
                <w:lang w:val="es-PE"/>
              </w:rPr>
              <w:t> </w:t>
            </w:r>
          </w:p>
          <w:p w14:paraId="14DDCAE6"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1BBD938D"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16994EDF" w14:textId="77777777" w:rsidTr="00076D7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AD2CA4"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967E66"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circulares que promuevan el valor de los recursos naturales y otros recursos resultantes de actividades de transformación.</w:t>
            </w:r>
            <w:r w:rsidRPr="0059494B">
              <w:rPr>
                <w:rFonts w:asciiTheme="majorHAnsi" w:hAnsiTheme="majorHAnsi" w:cstheme="majorHAnsi"/>
                <w:sz w:val="22"/>
                <w:szCs w:val="22"/>
                <w:lang w:val="es-PE"/>
              </w:rPr>
              <w:t> </w:t>
            </w:r>
          </w:p>
          <w:p w14:paraId="2F7BDB55"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innovadores con enfoque en eficiencia de recursos y producción más limpia, eco-innovación, valorización de los residuos, tratamiento de aguas residuales, entre otros.</w:t>
            </w:r>
            <w:r w:rsidRPr="0059494B">
              <w:rPr>
                <w:rFonts w:asciiTheme="majorHAnsi" w:hAnsiTheme="majorHAnsi" w:cstheme="majorHAnsi"/>
                <w:sz w:val="22"/>
                <w:szCs w:val="22"/>
                <w:lang w:val="es-PE"/>
              </w:rPr>
              <w:t> </w:t>
            </w:r>
          </w:p>
          <w:p w14:paraId="3D9A2246"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que promuevan el escalamiento de reutilización de productos y componentes en diversas industrias.</w:t>
            </w:r>
            <w:r w:rsidRPr="0059494B">
              <w:rPr>
                <w:rFonts w:asciiTheme="majorHAnsi" w:hAnsiTheme="majorHAnsi" w:cstheme="majorHAnsi"/>
                <w:sz w:val="22"/>
                <w:szCs w:val="22"/>
                <w:lang w:val="es-PE"/>
              </w:rPr>
              <w:t> </w:t>
            </w:r>
          </w:p>
          <w:p w14:paraId="5D219B77"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6D55FB5F" w14:textId="77777777" w:rsidR="00784CED" w:rsidRPr="0059494B" w:rsidRDefault="00784CED" w:rsidP="00784CED">
            <w:pPr>
              <w:numPr>
                <w:ilvl w:val="0"/>
                <w:numId w:val="27"/>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12736F19"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7179BA64" w14:textId="77777777" w:rsidR="00784CED" w:rsidRPr="0059494B" w:rsidRDefault="00784CED" w:rsidP="00784CED">
      <w:pPr>
        <w:numPr>
          <w:ilvl w:val="0"/>
          <w:numId w:val="21"/>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BIENESTAR RESILIENTE</w:t>
      </w:r>
      <w:r w:rsidRPr="0059494B">
        <w:rPr>
          <w:rFonts w:asciiTheme="majorHAnsi" w:hAnsiTheme="majorHAnsi" w:cstheme="majorHAnsi"/>
          <w:sz w:val="22"/>
          <w:szCs w:val="22"/>
          <w:lang w:val="es-PE"/>
        </w:rPr>
        <w:t> </w:t>
      </w:r>
    </w:p>
    <w:p w14:paraId="65F083E3"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7009B84"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lang w:val="es-PE"/>
        </w:rPr>
        <w:t> </w:t>
      </w:r>
    </w:p>
    <w:p w14:paraId="4D5B010D"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744315B" w14:textId="77777777" w:rsidR="00784CED" w:rsidRPr="0059494B" w:rsidRDefault="00784CED" w:rsidP="00784CED">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resiliencia de personas y ecosistemas naturales ante los efectos del cambio climático a través de soluciones innovadoras.</w:t>
      </w:r>
      <w:r w:rsidRPr="0059494B">
        <w:rPr>
          <w:rFonts w:asciiTheme="majorHAnsi" w:hAnsiTheme="majorHAnsi" w:cstheme="majorHAnsi"/>
          <w:sz w:val="22"/>
          <w:szCs w:val="22"/>
          <w:lang w:val="es-PE"/>
        </w:rPr>
        <w:t> </w:t>
      </w:r>
    </w:p>
    <w:p w14:paraId="4E263D89"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2C138391" w14:textId="77777777" w:rsidR="00784CED" w:rsidRPr="0059494B" w:rsidRDefault="00784CED" w:rsidP="00784CED">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10"/>
      </w:tblGrid>
      <w:tr w:rsidR="00784CED" w:rsidRPr="0059494B" w14:paraId="4F675D96" w14:textId="77777777" w:rsidTr="00076D7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03AB2081"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92D050"/>
            <w:hideMark/>
          </w:tcPr>
          <w:p w14:paraId="570AABA3"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784CED" w:rsidRPr="0059494B" w14:paraId="398F316F" w14:textId="77777777" w:rsidTr="00076D70">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E275F"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94639"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Sistemas de Alerta Temprana (SAT) ante inundaciones, sequías, heladas, movimientos en masa, aluviones y otros peligros asociados al cambio climático en cuencas y territorios vulnerables al cambio climático. </w:t>
            </w:r>
            <w:r w:rsidRPr="0059494B">
              <w:rPr>
                <w:rFonts w:asciiTheme="majorHAnsi" w:hAnsiTheme="majorHAnsi" w:cstheme="majorHAnsi"/>
                <w:sz w:val="22"/>
                <w:szCs w:val="22"/>
                <w:lang w:val="es-PE"/>
              </w:rPr>
              <w:t> </w:t>
            </w:r>
          </w:p>
          <w:p w14:paraId="7BC7C2F5"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2A23D670" w14:textId="77777777" w:rsidTr="00076D7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682FB0"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A4DE6"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en el diseño de la construcción y/o habilitación de infraestructura de salud, transporte u otro servicio ante la ocurrencia de riesgos asociados al cambio climático.</w:t>
            </w:r>
            <w:r w:rsidRPr="0059494B">
              <w:rPr>
                <w:rFonts w:asciiTheme="majorHAnsi" w:hAnsiTheme="majorHAnsi" w:cstheme="majorHAnsi"/>
                <w:sz w:val="22"/>
                <w:szCs w:val="22"/>
                <w:lang w:val="es-PE"/>
              </w:rPr>
              <w:t> </w:t>
            </w:r>
          </w:p>
          <w:p w14:paraId="458B5E06"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adaptación y resiliencia para las fuentes de agua dulce que permitan reducir la demanda de agua.</w:t>
            </w:r>
            <w:r w:rsidRPr="0059494B">
              <w:rPr>
                <w:rFonts w:asciiTheme="majorHAnsi" w:hAnsiTheme="majorHAnsi" w:cstheme="majorHAnsi"/>
                <w:sz w:val="22"/>
                <w:szCs w:val="22"/>
                <w:lang w:val="es-PE"/>
              </w:rPr>
              <w:t> </w:t>
            </w:r>
          </w:p>
          <w:p w14:paraId="0EA2F47C"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captación, potabilización y acondicionamiento para el incremento de la disponibilidad de agua para consumo humano.</w:t>
            </w:r>
            <w:r w:rsidRPr="0059494B">
              <w:rPr>
                <w:rFonts w:asciiTheme="majorHAnsi" w:hAnsiTheme="majorHAnsi" w:cstheme="majorHAnsi"/>
                <w:sz w:val="22"/>
                <w:szCs w:val="22"/>
                <w:lang w:val="es-PE"/>
              </w:rPr>
              <w:t> </w:t>
            </w:r>
          </w:p>
          <w:p w14:paraId="1C89E688"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captación y distribución para el incremento de la disponibilidad de agua para actividades agropecuarias.</w:t>
            </w:r>
            <w:r w:rsidRPr="0059494B">
              <w:rPr>
                <w:rFonts w:asciiTheme="majorHAnsi" w:hAnsiTheme="majorHAnsi" w:cstheme="majorHAnsi"/>
                <w:sz w:val="22"/>
                <w:szCs w:val="22"/>
                <w:lang w:val="es-PE"/>
              </w:rPr>
              <w:t> </w:t>
            </w:r>
          </w:p>
          <w:p w14:paraId="715DACB2"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y soluciones basadas en la naturaleza para el almacenamiento y gestión eficiente del agua.</w:t>
            </w:r>
            <w:r w:rsidRPr="0059494B">
              <w:rPr>
                <w:rFonts w:asciiTheme="majorHAnsi" w:hAnsiTheme="majorHAnsi" w:cstheme="majorHAnsi"/>
                <w:sz w:val="22"/>
                <w:szCs w:val="22"/>
                <w:lang w:val="es-PE"/>
              </w:rPr>
              <w:t> </w:t>
            </w:r>
          </w:p>
          <w:p w14:paraId="31B718D5"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bajas en carbono para la cocción limpia en zonas rurales.</w:t>
            </w:r>
            <w:r w:rsidRPr="0059494B">
              <w:rPr>
                <w:rFonts w:asciiTheme="majorHAnsi" w:hAnsiTheme="majorHAnsi" w:cstheme="majorHAnsi"/>
                <w:sz w:val="22"/>
                <w:szCs w:val="22"/>
                <w:lang w:val="es-PE"/>
              </w:rPr>
              <w:t> </w:t>
            </w:r>
          </w:p>
          <w:p w14:paraId="58407A12"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3C97E473"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784CED" w:rsidRPr="0059494B" w14:paraId="297B1123" w14:textId="77777777" w:rsidTr="00076D70">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6452E" w14:textId="77777777" w:rsidR="00784CED" w:rsidRPr="0059494B" w:rsidRDefault="00784CED" w:rsidP="00076D7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F8BBEC"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 xml:space="preserve">Nuevos modelos de negocio, estrategias y soluciones basadas en la naturaleza para la promoción de la diversidad y </w:t>
            </w:r>
            <w:proofErr w:type="spellStart"/>
            <w:r w:rsidRPr="0059494B">
              <w:rPr>
                <w:rFonts w:asciiTheme="majorHAnsi" w:hAnsiTheme="majorHAnsi" w:cstheme="majorHAnsi"/>
                <w:sz w:val="22"/>
                <w:szCs w:val="22"/>
              </w:rPr>
              <w:t>agrodiversidad</w:t>
            </w:r>
            <w:proofErr w:type="spellEnd"/>
            <w:r w:rsidRPr="0059494B">
              <w:rPr>
                <w:rFonts w:asciiTheme="majorHAnsi" w:hAnsiTheme="majorHAnsi" w:cstheme="majorHAnsi"/>
                <w:sz w:val="22"/>
                <w:szCs w:val="22"/>
              </w:rPr>
              <w:t xml:space="preserve"> mediante el turismo y el biocomercio.</w:t>
            </w:r>
            <w:r w:rsidRPr="0059494B">
              <w:rPr>
                <w:rFonts w:asciiTheme="majorHAnsi" w:hAnsiTheme="majorHAnsi" w:cstheme="majorHAnsi"/>
                <w:sz w:val="22"/>
                <w:szCs w:val="22"/>
                <w:lang w:val="es-PE"/>
              </w:rPr>
              <w:t> </w:t>
            </w:r>
          </w:p>
          <w:p w14:paraId="604E07C7"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de innovación tecnológica adaptativa en cadenas de valor agrarias.</w:t>
            </w:r>
            <w:r w:rsidRPr="0059494B">
              <w:rPr>
                <w:rFonts w:asciiTheme="majorHAnsi" w:hAnsiTheme="majorHAnsi" w:cstheme="majorHAnsi"/>
                <w:sz w:val="22"/>
                <w:szCs w:val="22"/>
                <w:lang w:val="es-PE"/>
              </w:rPr>
              <w:t> </w:t>
            </w:r>
          </w:p>
          <w:p w14:paraId="2C8D3C3B"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414C5C3B" w14:textId="77777777" w:rsidR="00784CED" w:rsidRPr="0059494B" w:rsidRDefault="00784CED" w:rsidP="00784CED">
            <w:pPr>
              <w:numPr>
                <w:ilvl w:val="0"/>
                <w:numId w:val="28"/>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bookmarkEnd w:id="2"/>
    </w:tbl>
    <w:p w14:paraId="714D2D0D" w14:textId="77777777" w:rsidR="00784CED" w:rsidRPr="0059494B" w:rsidRDefault="00784CED" w:rsidP="00784CED">
      <w:pPr>
        <w:tabs>
          <w:tab w:val="left" w:pos="851"/>
        </w:tabs>
        <w:rPr>
          <w:rStyle w:val="Ttulodellibro"/>
          <w:rFonts w:asciiTheme="majorHAnsi" w:eastAsia="Calibri" w:hAnsiTheme="majorHAnsi" w:cstheme="majorHAnsi"/>
          <w:bCs w:val="0"/>
          <w:i w:val="0"/>
          <w:iCs w:val="0"/>
          <w:sz w:val="22"/>
          <w:szCs w:val="22"/>
        </w:rPr>
      </w:pPr>
      <w:r w:rsidRPr="0059494B">
        <w:rPr>
          <w:rStyle w:val="Ttulodellibro"/>
          <w:rFonts w:asciiTheme="majorHAnsi" w:eastAsia="Calibri" w:hAnsiTheme="majorHAnsi" w:cstheme="majorHAnsi"/>
          <w:sz w:val="22"/>
          <w:szCs w:val="22"/>
        </w:rPr>
        <w:br w:type="page"/>
      </w:r>
    </w:p>
    <w:p w14:paraId="38C6348C" w14:textId="77777777" w:rsidR="00784CED" w:rsidRPr="00784CED" w:rsidRDefault="00784CED" w:rsidP="00784CED">
      <w:pPr>
        <w:pStyle w:val="Ttulo1"/>
        <w:spacing w:before="0" w:after="0"/>
        <w:jc w:val="center"/>
        <w:rPr>
          <w:rStyle w:val="Ttulodellibro"/>
          <w:rFonts w:asciiTheme="majorHAnsi" w:eastAsia="Calibri" w:hAnsiTheme="majorHAnsi" w:cstheme="majorHAnsi"/>
          <w:b/>
          <w:bCs w:val="0"/>
          <w:i w:val="0"/>
          <w:iCs w:val="0"/>
          <w:sz w:val="22"/>
          <w:szCs w:val="22"/>
        </w:rPr>
      </w:pPr>
      <w:bookmarkStart w:id="3" w:name="_Toc144981556"/>
      <w:r w:rsidRPr="00784CED">
        <w:rPr>
          <w:rStyle w:val="Ttulodellibro"/>
          <w:rFonts w:asciiTheme="majorHAnsi" w:eastAsia="Calibri" w:hAnsiTheme="majorHAnsi" w:cstheme="majorHAnsi"/>
          <w:b/>
          <w:bCs w:val="0"/>
          <w:i w:val="0"/>
          <w:iCs w:val="0"/>
          <w:sz w:val="22"/>
          <w:szCs w:val="22"/>
        </w:rPr>
        <w:lastRenderedPageBreak/>
        <w:t>Anexo 2: Requisitos legales para los miembros del equipo emprendedor y empresas jóvenes</w:t>
      </w:r>
      <w:bookmarkEnd w:id="3"/>
    </w:p>
    <w:p w14:paraId="26DABD32" w14:textId="77777777" w:rsidR="00784CED" w:rsidRPr="0059494B" w:rsidRDefault="00784CED" w:rsidP="00784CED">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3098F4F1" w14:textId="77777777" w:rsidR="00784CED" w:rsidRPr="0059494B" w:rsidRDefault="00784CED" w:rsidP="00784CED">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Los </w:t>
      </w:r>
      <w:r w:rsidRPr="0059494B">
        <w:rPr>
          <w:rFonts w:asciiTheme="majorHAnsi" w:eastAsia="Calibri" w:hAnsiTheme="majorHAnsi" w:cstheme="majorHAnsi"/>
          <w:b/>
          <w:bCs/>
          <w:sz w:val="22"/>
          <w:szCs w:val="22"/>
        </w:rPr>
        <w:t>miembros del equipo emprendedor</w:t>
      </w:r>
      <w:r w:rsidRPr="0059494B">
        <w:rPr>
          <w:rFonts w:asciiTheme="majorHAnsi" w:eastAsia="Calibri" w:hAnsiTheme="majorHAnsi" w:cstheme="majorHAnsi"/>
          <w:sz w:val="22"/>
          <w:szCs w:val="22"/>
        </w:rPr>
        <w:t xml:space="preserve"> deben cumplir los siguientes requisitos: </w:t>
      </w:r>
    </w:p>
    <w:p w14:paraId="76F989DB" w14:textId="77777777" w:rsidR="00784CED" w:rsidRPr="0059494B" w:rsidRDefault="00784CED" w:rsidP="00784CED">
      <w:pPr>
        <w:rPr>
          <w:rFonts w:asciiTheme="majorHAnsi" w:eastAsia="Calibri" w:hAnsiTheme="majorHAnsi" w:cstheme="majorHAnsi"/>
          <w:sz w:val="22"/>
          <w:szCs w:val="22"/>
        </w:rPr>
      </w:pPr>
    </w:p>
    <w:p w14:paraId="5E2A7B43" w14:textId="77777777" w:rsidR="00784CED" w:rsidRPr="0059494B" w:rsidRDefault="00784CED" w:rsidP="00784CED">
      <w:pPr>
        <w:pStyle w:val="Prrafodelista"/>
        <w:widowControl w:val="0"/>
        <w:numPr>
          <w:ilvl w:val="0"/>
          <w:numId w:val="5"/>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Ser mayor de edad.</w:t>
      </w:r>
    </w:p>
    <w:p w14:paraId="1EC797FA" w14:textId="77777777" w:rsidR="00784CED" w:rsidRPr="0059494B" w:rsidRDefault="00784CED" w:rsidP="00784CED">
      <w:pPr>
        <w:pStyle w:val="Prrafodelista"/>
        <w:widowControl w:val="0"/>
        <w:numPr>
          <w:ilvl w:val="0"/>
          <w:numId w:val="5"/>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Contar con DNI o carnet de extranjería vigente, en caso ser extranjero, con pasaporte vigente.</w:t>
      </w:r>
    </w:p>
    <w:p w14:paraId="6A1E151B" w14:textId="77777777" w:rsidR="00784CED" w:rsidRPr="0059494B" w:rsidRDefault="00784CED" w:rsidP="00784CED">
      <w:pPr>
        <w:pStyle w:val="Prrafodelista"/>
        <w:widowControl w:val="0"/>
        <w:numPr>
          <w:ilvl w:val="0"/>
          <w:numId w:val="5"/>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contar con antecedentes penales ni policiales.</w:t>
      </w:r>
    </w:p>
    <w:p w14:paraId="1F1C8AFF" w14:textId="77777777" w:rsidR="00784CED" w:rsidRPr="0059494B" w:rsidRDefault="00784CED" w:rsidP="00784CED">
      <w:pPr>
        <w:pStyle w:val="Prrafodelista"/>
        <w:widowControl w:val="0"/>
        <w:numPr>
          <w:ilvl w:val="0"/>
          <w:numId w:val="5"/>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tener deudas coactivas con la SUNAT</w:t>
      </w:r>
      <w:r w:rsidRPr="0059494B">
        <w:rPr>
          <w:rFonts w:asciiTheme="majorHAnsi" w:eastAsia="Calibri" w:hAnsiTheme="majorHAnsi" w:cstheme="majorHAnsi"/>
          <w:sz w:val="22"/>
          <w:szCs w:val="22"/>
          <w:vertAlign w:val="superscript"/>
        </w:rPr>
        <w:footnoteReference w:id="1"/>
      </w:r>
      <w:r w:rsidRPr="0059494B">
        <w:rPr>
          <w:rFonts w:asciiTheme="majorHAnsi" w:eastAsia="Calibri" w:hAnsiTheme="majorHAnsi" w:cstheme="majorHAnsi"/>
          <w:sz w:val="22"/>
          <w:szCs w:val="22"/>
        </w:rPr>
        <w:t>, en caso sean peruanos o residentes</w:t>
      </w:r>
    </w:p>
    <w:p w14:paraId="250D187A" w14:textId="77777777" w:rsidR="00784CED" w:rsidRPr="0059494B" w:rsidRDefault="00784CED" w:rsidP="00784CED">
      <w:pPr>
        <w:pStyle w:val="Prrafodelista"/>
        <w:numPr>
          <w:ilvl w:val="0"/>
          <w:numId w:val="5"/>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estar sancionado con inhabilitación temporal o definitiva para contratar con el Estado peruano, mientras dure tal sanción.</w:t>
      </w:r>
    </w:p>
    <w:p w14:paraId="0270D0DF" w14:textId="77777777" w:rsidR="00784CED" w:rsidRPr="0059494B" w:rsidRDefault="00784CED" w:rsidP="00784CED">
      <w:pPr>
        <w:pStyle w:val="Prrafodelista"/>
        <w:numPr>
          <w:ilvl w:val="0"/>
          <w:numId w:val="5"/>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haber sido condenado mediante sentencia consentida o ejecutoriada por delitos cometidos en agravio del Estado peruano.</w:t>
      </w:r>
    </w:p>
    <w:p w14:paraId="3D09B89A" w14:textId="77777777" w:rsidR="00784CED" w:rsidRPr="0059494B" w:rsidRDefault="00784CED" w:rsidP="00784CED">
      <w:pPr>
        <w:pStyle w:val="Prrafodelista"/>
        <w:numPr>
          <w:ilvl w:val="0"/>
          <w:numId w:val="5"/>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deben estar relacionados con las personas con vínculo laboral de ProInnóvate hasta el cuarto grado de consanguinidad y segundo de afinidad, por razón de matrimonio, unión de hecho o convivencia.</w:t>
      </w:r>
    </w:p>
    <w:p w14:paraId="38FBD1A0" w14:textId="77777777" w:rsidR="00784CED" w:rsidRPr="0059494B" w:rsidRDefault="00784CED" w:rsidP="00784CED">
      <w:pPr>
        <w:pStyle w:val="Prrafodelista"/>
        <w:numPr>
          <w:ilvl w:val="0"/>
          <w:numId w:val="5"/>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ejercer una función pública en las Entidades del Estado peruano al momento de la suscripción del contrato</w:t>
      </w:r>
      <w:r w:rsidRPr="0059494B">
        <w:rPr>
          <w:rFonts w:asciiTheme="majorHAnsi" w:eastAsia="Calibri" w:hAnsiTheme="majorHAnsi" w:cstheme="majorHAnsi"/>
          <w:sz w:val="22"/>
          <w:szCs w:val="22"/>
          <w:vertAlign w:val="superscript"/>
        </w:rPr>
        <w:footnoteReference w:id="2"/>
      </w:r>
      <w:r w:rsidRPr="0059494B">
        <w:rPr>
          <w:rFonts w:asciiTheme="majorHAnsi" w:eastAsia="Calibri" w:hAnsiTheme="majorHAnsi" w:cstheme="majorHAnsi"/>
          <w:sz w:val="22"/>
          <w:szCs w:val="22"/>
        </w:rPr>
        <w:t>.</w:t>
      </w:r>
    </w:p>
    <w:p w14:paraId="2FA5C443" w14:textId="77777777" w:rsidR="00784CED" w:rsidRPr="0059494B" w:rsidRDefault="00784CED" w:rsidP="00784CED">
      <w:pPr>
        <w:pStyle w:val="Prrafodelista"/>
        <w:numPr>
          <w:ilvl w:val="0"/>
          <w:numId w:val="5"/>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estar observados por ProInnóvate u otra fuente de financiamiento a la que ProInnóvate tenga acceso.</w:t>
      </w:r>
    </w:p>
    <w:p w14:paraId="05670FB7" w14:textId="77777777" w:rsidR="00784CED" w:rsidRPr="0059494B" w:rsidRDefault="00784CED" w:rsidP="00784CED">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5DD29CFF" w14:textId="77777777" w:rsidR="00784CED" w:rsidRPr="0059494B" w:rsidRDefault="00784CED" w:rsidP="00784CED">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La </w:t>
      </w:r>
      <w:r w:rsidRPr="0059494B">
        <w:rPr>
          <w:rFonts w:asciiTheme="majorHAnsi" w:eastAsia="Calibri" w:hAnsiTheme="majorHAnsi" w:cstheme="majorHAnsi"/>
          <w:b/>
          <w:bCs/>
          <w:sz w:val="22"/>
          <w:szCs w:val="22"/>
        </w:rPr>
        <w:t>empresa joven</w:t>
      </w:r>
      <w:r w:rsidRPr="0059494B">
        <w:rPr>
          <w:rFonts w:asciiTheme="majorHAnsi" w:eastAsia="Calibri" w:hAnsiTheme="majorHAnsi" w:cstheme="majorHAnsi"/>
          <w:sz w:val="22"/>
          <w:szCs w:val="22"/>
        </w:rPr>
        <w:t>, debe cumplir los siguientes requisitos:</w:t>
      </w:r>
    </w:p>
    <w:p w14:paraId="73DDC158" w14:textId="77777777" w:rsidR="00784CED" w:rsidRPr="0059494B" w:rsidRDefault="00784CED" w:rsidP="00784CED">
      <w:pPr>
        <w:pStyle w:val="Prrafodelista"/>
        <w:widowControl w:val="0"/>
        <w:pBdr>
          <w:top w:val="nil"/>
          <w:left w:val="nil"/>
          <w:bottom w:val="nil"/>
          <w:right w:val="nil"/>
          <w:between w:val="nil"/>
        </w:pBdr>
        <w:ind w:left="1080"/>
        <w:jc w:val="both"/>
        <w:rPr>
          <w:rFonts w:asciiTheme="majorHAnsi" w:eastAsia="Calibri" w:hAnsiTheme="majorHAnsi" w:cstheme="majorHAnsi"/>
          <w:sz w:val="22"/>
          <w:szCs w:val="22"/>
        </w:rPr>
      </w:pPr>
    </w:p>
    <w:p w14:paraId="1D4F3D97" w14:textId="77777777" w:rsidR="00784CED" w:rsidRPr="0059494B" w:rsidRDefault="00784CED" w:rsidP="00784CED">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El Líder Emprendedor debe ser uno de los socios de la empresa</w:t>
      </w:r>
      <w:r w:rsidRPr="0059494B">
        <w:rPr>
          <w:rFonts w:asciiTheme="majorHAnsi" w:eastAsia="Calibri" w:hAnsiTheme="majorHAnsi" w:cstheme="majorHAnsi"/>
          <w:sz w:val="22"/>
          <w:szCs w:val="22"/>
          <w:vertAlign w:val="superscript"/>
        </w:rPr>
        <w:t xml:space="preserve"> </w:t>
      </w:r>
      <w:r w:rsidRPr="0059494B">
        <w:rPr>
          <w:rFonts w:asciiTheme="majorHAnsi" w:eastAsia="Calibri" w:hAnsiTheme="majorHAnsi" w:cstheme="majorHAnsi"/>
          <w:sz w:val="22"/>
          <w:szCs w:val="22"/>
        </w:rPr>
        <w:t>y los socios fundadores que sean parte del equipo emprendedor cuenten con al menos 51% de participación en la empresa</w:t>
      </w:r>
      <w:r w:rsidRPr="0059494B">
        <w:rPr>
          <w:rFonts w:asciiTheme="majorHAnsi" w:eastAsia="Calibri" w:hAnsiTheme="majorHAnsi" w:cstheme="majorHAnsi"/>
          <w:sz w:val="22"/>
          <w:szCs w:val="22"/>
          <w:vertAlign w:val="superscript"/>
        </w:rPr>
        <w:footnoteReference w:id="3"/>
      </w:r>
      <w:r w:rsidRPr="0059494B">
        <w:rPr>
          <w:rFonts w:asciiTheme="majorHAnsi" w:eastAsia="Calibri" w:hAnsiTheme="majorHAnsi" w:cstheme="majorHAnsi"/>
          <w:sz w:val="22"/>
          <w:szCs w:val="22"/>
        </w:rPr>
        <w:t>.</w:t>
      </w:r>
    </w:p>
    <w:p w14:paraId="03FA7DA3" w14:textId="77777777" w:rsidR="00784CED" w:rsidRPr="0059494B" w:rsidRDefault="00784CED" w:rsidP="00784CED">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Estar legalmente constituidas en el Perú como una empresa en cualquier modalidad y cuenten con RUC activo y habido.</w:t>
      </w:r>
    </w:p>
    <w:p w14:paraId="3BB27709" w14:textId="77777777" w:rsidR="00784CED" w:rsidRPr="0059494B" w:rsidRDefault="00784CED" w:rsidP="00784CED">
      <w:pPr>
        <w:pStyle w:val="Prrafodelista"/>
        <w:widowControl w:val="0"/>
        <w:numPr>
          <w:ilvl w:val="0"/>
          <w:numId w:val="14"/>
        </w:numPr>
        <w:pBdr>
          <w:top w:val="nil"/>
          <w:left w:val="nil"/>
          <w:bottom w:val="nil"/>
          <w:right w:val="nil"/>
          <w:between w:val="nil"/>
        </w:pBdr>
        <w:ind w:left="709" w:hanging="567"/>
        <w:jc w:val="both"/>
        <w:rPr>
          <w:rFonts w:asciiTheme="majorHAnsi" w:eastAsia="Calibri" w:hAnsiTheme="majorHAnsi" w:cstheme="majorBidi"/>
          <w:sz w:val="22"/>
          <w:szCs w:val="22"/>
        </w:rPr>
      </w:pPr>
      <w:r w:rsidRPr="32834ED8">
        <w:rPr>
          <w:rFonts w:asciiTheme="majorHAnsi" w:eastAsia="Calibri" w:hAnsiTheme="majorHAnsi" w:cstheme="majorBidi"/>
          <w:sz w:val="22"/>
          <w:szCs w:val="22"/>
        </w:rPr>
        <w:t>Contar un máximo con cinco (05) años de operación en el Registro Único de Contribuyentes (RUC) de SUNAT a la fecha de cierre de la convocatoria al concurso.</w:t>
      </w:r>
    </w:p>
    <w:p w14:paraId="488D5D2D" w14:textId="77777777" w:rsidR="00784CED" w:rsidRPr="0059494B" w:rsidRDefault="00784CED" w:rsidP="00784CED">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723C5712" w14:textId="77777777" w:rsidR="00784CED" w:rsidRPr="0059494B" w:rsidRDefault="00784CED" w:rsidP="00784CED">
      <w:pPr>
        <w:pStyle w:val="Prrafodelista"/>
        <w:widowControl w:val="0"/>
        <w:numPr>
          <w:ilvl w:val="0"/>
          <w:numId w:val="11"/>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La </w:t>
      </w:r>
      <w:r w:rsidRPr="0059494B">
        <w:rPr>
          <w:rFonts w:asciiTheme="majorHAnsi" w:eastAsia="Calibri" w:hAnsiTheme="majorHAnsi" w:cstheme="majorHAnsi"/>
          <w:b/>
          <w:bCs/>
          <w:sz w:val="22"/>
          <w:szCs w:val="22"/>
        </w:rPr>
        <w:t>empresa joven y su representante legal</w:t>
      </w:r>
      <w:r w:rsidRPr="0059494B">
        <w:rPr>
          <w:rFonts w:asciiTheme="majorHAnsi" w:eastAsia="Calibri" w:hAnsiTheme="majorHAnsi" w:cstheme="majorHAnsi"/>
          <w:sz w:val="22"/>
          <w:szCs w:val="22"/>
        </w:rPr>
        <w:t>, debe cumplir los siguientes requisitos:</w:t>
      </w:r>
    </w:p>
    <w:p w14:paraId="0FE53192" w14:textId="77777777" w:rsidR="00784CED" w:rsidRPr="0059494B" w:rsidRDefault="00784CED" w:rsidP="00784CED">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66AB7465"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estar sancionado con inhabilitación temporal o definitiva para contratar con el Estado Peruano, mientras dure tal sanción.</w:t>
      </w:r>
    </w:p>
    <w:p w14:paraId="5A9D3609"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haya sido sentenciado por delito cometido en agravio del Estado.</w:t>
      </w:r>
    </w:p>
    <w:p w14:paraId="5C2ECDF6"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Los socios, apoderados y el representante legal no deben estar relacionados con las personas con vínculo laboral de ProInnóvate hasta el cuarto grado de consanguinidad y</w:t>
      </w:r>
    </w:p>
    <w:p w14:paraId="0AA03647" w14:textId="77777777" w:rsidR="00784CED" w:rsidRPr="0059494B" w:rsidRDefault="00784CED" w:rsidP="00784CED">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segundo de afinidad, por razón de matrimonio, unión de hecho o convivencia.</w:t>
      </w:r>
    </w:p>
    <w:p w14:paraId="3F4F0873"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estar sometido a ningún procedimiento previsto en la Ley General del Sistema Concursal, ni en cualquier norma que la sustituya, modifique o complemente.</w:t>
      </w:r>
    </w:p>
    <w:p w14:paraId="560408A1"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estar investigado ni sentenciado por delito contra la administración pública en agravio del Estado peruano.</w:t>
      </w:r>
    </w:p>
    <w:p w14:paraId="73CBF50E" w14:textId="77777777" w:rsidR="00784CED" w:rsidRPr="0059494B" w:rsidRDefault="00784CED" w:rsidP="00784CED">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No se encuentren observados por ProInnóvate u otra fuente de financiamiento a la que</w:t>
      </w:r>
    </w:p>
    <w:p w14:paraId="728521DA" w14:textId="77777777" w:rsidR="00784CED" w:rsidRPr="0059494B" w:rsidRDefault="00784CED" w:rsidP="00784CED">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se tenga acceso, que descalifica a la Entidad Solicitante por:</w:t>
      </w:r>
    </w:p>
    <w:p w14:paraId="7870AD7D" w14:textId="77777777" w:rsidR="00784CED" w:rsidRPr="0059494B" w:rsidRDefault="00784CED" w:rsidP="00784CED">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Un mal desempeño y capacidad de gestión de un proyecto culminado o en ejecución, </w:t>
      </w:r>
      <w:r w:rsidRPr="0059494B">
        <w:rPr>
          <w:rFonts w:asciiTheme="majorHAnsi" w:eastAsia="Calibri" w:hAnsiTheme="majorHAnsi" w:cstheme="majorHAnsi"/>
          <w:sz w:val="22"/>
          <w:szCs w:val="22"/>
        </w:rPr>
        <w:lastRenderedPageBreak/>
        <w:t>ya sea como Entidad Ejecutora o Entidad Asociada.</w:t>
      </w:r>
    </w:p>
    <w:p w14:paraId="15BC9A03" w14:textId="77777777" w:rsidR="00784CED" w:rsidRPr="0059494B" w:rsidRDefault="00784CED" w:rsidP="00784CED">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Haber suscrito un convenio o contrato de Adjudicación de Recursos No Reembolsables (RNR) y haberse resuelto por incumplimiento de la entidad solicitante.</w:t>
      </w:r>
    </w:p>
    <w:p w14:paraId="7F6D1378" w14:textId="77777777" w:rsidR="00784CED" w:rsidRPr="0059494B" w:rsidRDefault="00784CED" w:rsidP="00784CED">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Encontrarse observada por haber desistido del proceso de adjudicación después de haber sido evaluado y aprobado en concursos anteriores.</w:t>
      </w:r>
    </w:p>
    <w:p w14:paraId="1690CD25" w14:textId="77777777" w:rsidR="00784CED" w:rsidRPr="0059494B" w:rsidRDefault="00784CED" w:rsidP="00784CED">
      <w:pPr>
        <w:pStyle w:val="Prrafodelista"/>
        <w:widowControl w:val="0"/>
        <w:numPr>
          <w:ilvl w:val="0"/>
          <w:numId w:val="13"/>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Haber generado por omisión de la entidad ejecutora, la anulación de un contrato/convenio.</w:t>
      </w:r>
    </w:p>
    <w:p w14:paraId="4C1AC34E" w14:textId="77777777" w:rsidR="00784CED" w:rsidRPr="00784CED" w:rsidRDefault="00784CED" w:rsidP="00784CED">
      <w:pPr>
        <w:pStyle w:val="Ttulo1"/>
        <w:spacing w:before="0" w:after="0"/>
        <w:jc w:val="center"/>
        <w:rPr>
          <w:rFonts w:asciiTheme="majorHAnsi" w:hAnsiTheme="majorHAnsi" w:cstheme="majorHAnsi"/>
          <w:b w:val="0"/>
          <w:bCs/>
          <w:i/>
          <w:iCs/>
          <w:sz w:val="22"/>
          <w:szCs w:val="22"/>
        </w:rPr>
      </w:pPr>
      <w:bookmarkStart w:id="4" w:name="_Anexo_2:_Orientaciones"/>
      <w:bookmarkEnd w:id="4"/>
      <w:r w:rsidRPr="00784CED">
        <w:rPr>
          <w:rFonts w:asciiTheme="majorHAnsi" w:eastAsia="Calibri" w:hAnsiTheme="majorHAnsi" w:cstheme="majorHAnsi"/>
          <w:b w:val="0"/>
          <w:bCs/>
          <w:i/>
          <w:iCs/>
          <w:sz w:val="22"/>
          <w:szCs w:val="22"/>
        </w:rPr>
        <w:br w:type="page"/>
      </w:r>
      <w:bookmarkStart w:id="5" w:name="_Toc144981557"/>
      <w:r w:rsidRPr="00784CED">
        <w:rPr>
          <w:rStyle w:val="Ttulodellibro"/>
          <w:rFonts w:asciiTheme="majorHAnsi" w:eastAsia="Calibri" w:hAnsiTheme="majorHAnsi" w:cstheme="majorHAnsi"/>
          <w:b/>
          <w:bCs w:val="0"/>
          <w:i w:val="0"/>
          <w:iCs w:val="0"/>
          <w:sz w:val="22"/>
          <w:szCs w:val="22"/>
        </w:rPr>
        <w:lastRenderedPageBreak/>
        <w:t>Anexo 3: Orientaciones para el presupuesto - gastos elegibles y no elegibles</w:t>
      </w:r>
      <w:bookmarkEnd w:id="5"/>
    </w:p>
    <w:p w14:paraId="39C37063" w14:textId="77777777" w:rsidR="00784CED" w:rsidRPr="0059494B" w:rsidRDefault="00784CED" w:rsidP="00784CED">
      <w:pPr>
        <w:jc w:val="both"/>
        <w:rPr>
          <w:rFonts w:asciiTheme="majorHAnsi" w:eastAsia="Calibri" w:hAnsiTheme="majorHAnsi" w:cstheme="majorHAnsi"/>
          <w:sz w:val="22"/>
          <w:szCs w:val="22"/>
        </w:rPr>
      </w:pPr>
    </w:p>
    <w:p w14:paraId="19BB52C5" w14:textId="77777777" w:rsidR="00784CED" w:rsidRPr="0059494B" w:rsidRDefault="00784CED" w:rsidP="00784CED">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GASTOS ELEGIBLES</w:t>
      </w:r>
    </w:p>
    <w:p w14:paraId="42630A03" w14:textId="77777777" w:rsidR="00784CED" w:rsidRPr="0059494B" w:rsidRDefault="00784CED" w:rsidP="00784CED">
      <w:pPr>
        <w:jc w:val="both"/>
        <w:rPr>
          <w:rFonts w:asciiTheme="majorHAnsi" w:eastAsia="Calibri" w:hAnsiTheme="majorHAnsi" w:cstheme="majorHAnsi"/>
          <w:sz w:val="22"/>
          <w:szCs w:val="22"/>
        </w:rPr>
      </w:pPr>
    </w:p>
    <w:p w14:paraId="6C83E2A3" w14:textId="77777777" w:rsidR="00784CED" w:rsidRPr="0059494B" w:rsidRDefault="00784CED" w:rsidP="00784CED">
      <w:p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Los gastos elegibles son aquellos que pueden ser incluidos dentro del proyecto, tanto si se financian con aporte de ProInnóvate (RNR) o con aporte del equipo emprendedor. Es importante notar lo siguiente:</w:t>
      </w:r>
    </w:p>
    <w:p w14:paraId="1A9A8758" w14:textId="77777777" w:rsidR="00784CED" w:rsidRPr="0059494B" w:rsidRDefault="00784CED" w:rsidP="00784CED">
      <w:pPr>
        <w:ind w:left="720" w:hanging="720"/>
        <w:jc w:val="both"/>
        <w:rPr>
          <w:rFonts w:asciiTheme="majorHAnsi" w:eastAsia="Calibri" w:hAnsiTheme="majorHAnsi" w:cstheme="majorHAnsi"/>
          <w:sz w:val="22"/>
          <w:szCs w:val="22"/>
        </w:rPr>
      </w:pPr>
    </w:p>
    <w:p w14:paraId="354705D3" w14:textId="77777777" w:rsidR="00784CED" w:rsidRPr="0059494B" w:rsidRDefault="00784CED" w:rsidP="00784CED">
      <w:pPr>
        <w:numPr>
          <w:ilvl w:val="0"/>
          <w:numId w:val="6"/>
        </w:numPr>
        <w:pBdr>
          <w:top w:val="nil"/>
          <w:left w:val="nil"/>
          <w:bottom w:val="nil"/>
          <w:right w:val="nil"/>
          <w:between w:val="nil"/>
        </w:pBd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Las partidas y gastos es todo aquello que puede ser financiado como parte del proyecto. La partida es una categoría (por ejemplo “</w:t>
      </w:r>
      <w:r w:rsidRPr="0059494B">
        <w:rPr>
          <w:rFonts w:asciiTheme="majorHAnsi" w:eastAsia="Calibri" w:hAnsiTheme="majorHAnsi" w:cstheme="majorHAnsi"/>
          <w:i/>
          <w:sz w:val="22"/>
          <w:szCs w:val="22"/>
        </w:rPr>
        <w:t>Honorarios</w:t>
      </w:r>
      <w:r w:rsidRPr="0059494B">
        <w:rPr>
          <w:rFonts w:asciiTheme="majorHAnsi" w:eastAsia="Calibri" w:hAnsiTheme="majorHAnsi" w:cstheme="majorHAnsi"/>
          <w:sz w:val="22"/>
          <w:szCs w:val="22"/>
        </w:rPr>
        <w:t>”) que comprende diferentes tipos de gastos (por ejemplo “</w:t>
      </w:r>
      <w:r w:rsidRPr="0059494B">
        <w:rPr>
          <w:rFonts w:asciiTheme="majorHAnsi" w:eastAsia="Calibri" w:hAnsiTheme="majorHAnsi" w:cstheme="majorHAnsi"/>
          <w:i/>
          <w:sz w:val="22"/>
          <w:szCs w:val="22"/>
        </w:rPr>
        <w:t>Incentivos</w:t>
      </w:r>
      <w:r w:rsidRPr="0059494B">
        <w:rPr>
          <w:rFonts w:asciiTheme="majorHAnsi" w:eastAsia="Calibri" w:hAnsiTheme="majorHAnsi" w:cstheme="majorHAnsi"/>
          <w:sz w:val="22"/>
          <w:szCs w:val="22"/>
        </w:rPr>
        <w:t>”).</w:t>
      </w:r>
    </w:p>
    <w:p w14:paraId="00B734BE" w14:textId="77777777" w:rsidR="00784CED" w:rsidRPr="0059494B" w:rsidRDefault="00784CED" w:rsidP="00784CED">
      <w:pPr>
        <w:pBdr>
          <w:top w:val="nil"/>
          <w:left w:val="nil"/>
          <w:bottom w:val="nil"/>
          <w:right w:val="nil"/>
          <w:between w:val="nil"/>
        </w:pBdr>
        <w:ind w:left="709"/>
        <w:jc w:val="both"/>
        <w:rPr>
          <w:rFonts w:asciiTheme="majorHAnsi" w:hAnsiTheme="majorHAnsi" w:cstheme="majorHAnsi"/>
          <w:sz w:val="22"/>
          <w:szCs w:val="22"/>
        </w:rPr>
      </w:pPr>
    </w:p>
    <w:p w14:paraId="0F6EFC46" w14:textId="77777777" w:rsidR="00784CED" w:rsidRPr="0059494B" w:rsidRDefault="00784CED" w:rsidP="00784CED">
      <w:pPr>
        <w:numPr>
          <w:ilvl w:val="0"/>
          <w:numId w:val="6"/>
        </w:numPr>
        <w:pBdr>
          <w:top w:val="nil"/>
          <w:left w:val="nil"/>
          <w:bottom w:val="nil"/>
          <w:right w:val="nil"/>
          <w:between w:val="nil"/>
        </w:pBd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Los Recursos No Reembolsables (RNR) son el financiamiento otorgado por ProInnóvate a cada proyecto, está compuesto por:</w:t>
      </w:r>
    </w:p>
    <w:p w14:paraId="2FD0B318" w14:textId="77777777" w:rsidR="00784CED" w:rsidRPr="0059494B" w:rsidRDefault="00784CED" w:rsidP="00784CED">
      <w:pPr>
        <w:pStyle w:val="Prrafodelista"/>
        <w:rPr>
          <w:rFonts w:asciiTheme="majorHAnsi" w:hAnsiTheme="majorHAnsi" w:cstheme="majorHAnsi"/>
          <w:sz w:val="22"/>
          <w:szCs w:val="22"/>
        </w:rPr>
      </w:pPr>
    </w:p>
    <w:p w14:paraId="74735E65" w14:textId="77777777" w:rsidR="00784CED" w:rsidRPr="0059494B" w:rsidRDefault="00784CED" w:rsidP="00784CED">
      <w:pPr>
        <w:numPr>
          <w:ilvl w:val="1"/>
          <w:numId w:val="6"/>
        </w:numPr>
        <w:pBdr>
          <w:top w:val="nil"/>
          <w:left w:val="nil"/>
          <w:bottom w:val="nil"/>
          <w:right w:val="nil"/>
          <w:between w:val="nil"/>
        </w:pBdr>
        <w:jc w:val="both"/>
        <w:rPr>
          <w:rFonts w:asciiTheme="majorHAnsi" w:hAnsiTheme="majorHAnsi" w:cstheme="majorHAnsi"/>
          <w:sz w:val="22"/>
          <w:szCs w:val="22"/>
        </w:rPr>
      </w:pPr>
      <w:r w:rsidRPr="0059494B">
        <w:rPr>
          <w:rFonts w:asciiTheme="majorHAnsi" w:hAnsiTheme="majorHAnsi" w:cstheme="majorHAnsi"/>
          <w:sz w:val="22"/>
          <w:szCs w:val="22"/>
        </w:rPr>
        <w:t xml:space="preserve">Capital Semilla, hasta por un máximo de </w:t>
      </w:r>
      <w:r w:rsidRPr="0059494B">
        <w:rPr>
          <w:rFonts w:asciiTheme="majorHAnsi" w:eastAsia="Calibri" w:hAnsiTheme="majorHAnsi" w:cstheme="majorHAnsi"/>
          <w:sz w:val="22"/>
          <w:szCs w:val="22"/>
        </w:rPr>
        <w:t>S/ 60,000.00 (sesenta mil y 00/100 soles)</w:t>
      </w:r>
    </w:p>
    <w:p w14:paraId="08F93381" w14:textId="77777777" w:rsidR="00784CED" w:rsidRPr="0059494B" w:rsidRDefault="00784CED" w:rsidP="00784CED">
      <w:pPr>
        <w:numPr>
          <w:ilvl w:val="1"/>
          <w:numId w:val="6"/>
        </w:numPr>
        <w:pBdr>
          <w:top w:val="nil"/>
          <w:left w:val="nil"/>
          <w:bottom w:val="nil"/>
          <w:right w:val="nil"/>
          <w:between w:val="nil"/>
        </w:pBdr>
        <w:jc w:val="both"/>
        <w:rPr>
          <w:rFonts w:asciiTheme="majorHAnsi" w:hAnsiTheme="majorHAnsi" w:cstheme="majorHAnsi"/>
          <w:sz w:val="22"/>
          <w:szCs w:val="22"/>
        </w:rPr>
      </w:pPr>
      <w:r w:rsidRPr="0059494B">
        <w:rPr>
          <w:rFonts w:asciiTheme="majorHAnsi" w:eastAsia="Calibri" w:hAnsiTheme="majorHAnsi" w:cstheme="majorHAnsi"/>
          <w:sz w:val="22"/>
          <w:szCs w:val="22"/>
        </w:rPr>
        <w:t>Asignación a incubadora o aceleradora, por S/ 7,000.00 (siete mil y 00/100 soles)</w:t>
      </w:r>
    </w:p>
    <w:p w14:paraId="5B399FD2" w14:textId="77777777" w:rsidR="00784CED" w:rsidRPr="0059494B" w:rsidRDefault="00784CED" w:rsidP="00784CED">
      <w:pPr>
        <w:pBdr>
          <w:top w:val="nil"/>
          <w:left w:val="nil"/>
          <w:bottom w:val="nil"/>
          <w:right w:val="nil"/>
          <w:between w:val="nil"/>
        </w:pBdr>
        <w:ind w:left="709"/>
        <w:jc w:val="both"/>
        <w:rPr>
          <w:rFonts w:asciiTheme="majorHAnsi" w:eastAsia="Calibri" w:hAnsiTheme="majorHAnsi" w:cstheme="majorHAnsi"/>
          <w:sz w:val="22"/>
          <w:szCs w:val="22"/>
        </w:rPr>
      </w:pPr>
    </w:p>
    <w:p w14:paraId="4CB531D3" w14:textId="77777777" w:rsidR="00784CED" w:rsidRPr="0059494B" w:rsidRDefault="00784CED" w:rsidP="00784CED">
      <w:pPr>
        <w:numPr>
          <w:ilvl w:val="0"/>
          <w:numId w:val="6"/>
        </w:numPr>
        <w:pBdr>
          <w:top w:val="nil"/>
          <w:left w:val="nil"/>
          <w:bottom w:val="nil"/>
          <w:right w:val="nil"/>
          <w:between w:val="nil"/>
        </w:pBd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El aporte de los equipos emprendedores será monetario y no monetario.  E</w:t>
      </w:r>
      <w:r w:rsidRPr="0059494B">
        <w:rPr>
          <w:rStyle w:val="normaltextrun"/>
          <w:rFonts w:asciiTheme="majorHAnsi" w:hAnsiTheme="majorHAnsi" w:cstheme="majorHAnsi"/>
          <w:sz w:val="22"/>
          <w:szCs w:val="22"/>
          <w:bdr w:val="none" w:sz="0" w:space="0" w:color="auto" w:frame="1"/>
        </w:rPr>
        <w:t>l aporte no monetario consiste en la valorización de recursos asignados temporalmente a las actividades del proyecto.</w:t>
      </w:r>
    </w:p>
    <w:p w14:paraId="5E455320" w14:textId="77777777" w:rsidR="00784CED" w:rsidRPr="0059494B" w:rsidRDefault="00784CED" w:rsidP="00784CED">
      <w:pPr>
        <w:pBdr>
          <w:top w:val="nil"/>
          <w:left w:val="nil"/>
          <w:bottom w:val="nil"/>
          <w:right w:val="nil"/>
          <w:between w:val="nil"/>
        </w:pBdr>
        <w:jc w:val="both"/>
        <w:rPr>
          <w:rFonts w:asciiTheme="majorHAnsi" w:hAnsiTheme="majorHAnsi" w:cstheme="majorHAnsi"/>
          <w:sz w:val="22"/>
          <w:szCs w:val="22"/>
        </w:rPr>
      </w:pPr>
    </w:p>
    <w:p w14:paraId="2492ECE9" w14:textId="77777777" w:rsidR="00784CED" w:rsidRPr="0059494B" w:rsidRDefault="00784CED" w:rsidP="00784CED">
      <w:p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A continuación, se presentan las partidas que pueden ser financiadas como parte del proyecto.</w:t>
      </w:r>
    </w:p>
    <w:p w14:paraId="33976AE8" w14:textId="77777777" w:rsidR="00784CED" w:rsidRPr="0059494B" w:rsidRDefault="00784CED" w:rsidP="00784CED">
      <w:pPr>
        <w:jc w:val="both"/>
        <w:rPr>
          <w:rFonts w:asciiTheme="majorHAnsi" w:eastAsia="Calibri" w:hAnsiTheme="majorHAnsi" w:cstheme="majorHAnsi"/>
          <w:sz w:val="22"/>
          <w:szCs w:val="22"/>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525"/>
      </w:tblGrid>
      <w:tr w:rsidR="00784CED" w:rsidRPr="0059494B" w14:paraId="34DD63A0" w14:textId="77777777" w:rsidTr="00076D70">
        <w:trPr>
          <w:trHeight w:val="58"/>
          <w:jc w:val="center"/>
        </w:trPr>
        <w:tc>
          <w:tcPr>
            <w:tcW w:w="2122" w:type="dxa"/>
            <w:shd w:val="clear" w:color="auto" w:fill="BFBFBF" w:themeFill="background1" w:themeFillShade="BF"/>
            <w:vAlign w:val="center"/>
          </w:tcPr>
          <w:p w14:paraId="52ED0BF7" w14:textId="77777777" w:rsidR="00784CED" w:rsidRPr="0059494B" w:rsidRDefault="00784CED" w:rsidP="00076D70">
            <w:pPr>
              <w:ind w:left="22"/>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Partida Presupuestal</w:t>
            </w:r>
          </w:p>
        </w:tc>
        <w:tc>
          <w:tcPr>
            <w:tcW w:w="6525" w:type="dxa"/>
            <w:shd w:val="clear" w:color="auto" w:fill="BFBFBF" w:themeFill="background1" w:themeFillShade="BF"/>
            <w:vAlign w:val="center"/>
          </w:tcPr>
          <w:p w14:paraId="6AF0D9B8" w14:textId="77777777" w:rsidR="00784CED" w:rsidRPr="0059494B" w:rsidRDefault="00784CED" w:rsidP="00076D70">
            <w:pP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Descripción del gasto</w:t>
            </w:r>
          </w:p>
        </w:tc>
      </w:tr>
      <w:tr w:rsidR="00784CED" w:rsidRPr="0059494B" w14:paraId="4035B2BF" w14:textId="77777777" w:rsidTr="00076D70">
        <w:trPr>
          <w:trHeight w:val="140"/>
          <w:jc w:val="center"/>
        </w:trPr>
        <w:tc>
          <w:tcPr>
            <w:tcW w:w="8647" w:type="dxa"/>
            <w:gridSpan w:val="2"/>
            <w:shd w:val="clear" w:color="auto" w:fill="F2F2F2" w:themeFill="background1" w:themeFillShade="F2"/>
            <w:vAlign w:val="center"/>
          </w:tcPr>
          <w:p w14:paraId="2C43CDAA" w14:textId="77777777" w:rsidR="00784CED" w:rsidRPr="0059494B" w:rsidRDefault="00784CED" w:rsidP="00076D70">
            <w:pPr>
              <w:numPr>
                <w:ilvl w:val="0"/>
                <w:numId w:val="2"/>
              </w:num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 xml:space="preserve">Honorarios </w:t>
            </w:r>
          </w:p>
        </w:tc>
      </w:tr>
      <w:tr w:rsidR="00784CED" w:rsidRPr="0059494B" w14:paraId="6E1FA7BC" w14:textId="77777777" w:rsidTr="00076D70">
        <w:trPr>
          <w:trHeight w:val="1250"/>
          <w:jc w:val="center"/>
        </w:trPr>
        <w:tc>
          <w:tcPr>
            <w:tcW w:w="2122" w:type="dxa"/>
          </w:tcPr>
          <w:p w14:paraId="671727DF" w14:textId="77777777" w:rsidR="00784CED" w:rsidRPr="0059494B" w:rsidRDefault="00784CED" w:rsidP="00076D70">
            <w:pPr>
              <w:tabs>
                <w:tab w:val="left" w:pos="426"/>
              </w:tabs>
              <w:rPr>
                <w:rFonts w:asciiTheme="majorHAnsi" w:eastAsia="Calibri" w:hAnsiTheme="majorHAnsi" w:cstheme="majorHAnsi"/>
                <w:sz w:val="22"/>
                <w:szCs w:val="22"/>
              </w:rPr>
            </w:pPr>
            <w:r w:rsidRPr="0059494B">
              <w:rPr>
                <w:rFonts w:asciiTheme="majorHAnsi" w:eastAsia="Calibri" w:hAnsiTheme="majorHAnsi" w:cstheme="majorHAnsi"/>
                <w:sz w:val="22"/>
                <w:szCs w:val="22"/>
              </w:rPr>
              <w:t>Honorarios para el Equipo Emprendedor</w:t>
            </w:r>
          </w:p>
        </w:tc>
        <w:tc>
          <w:tcPr>
            <w:tcW w:w="6525" w:type="dxa"/>
          </w:tcPr>
          <w:p w14:paraId="7E6171B8" w14:textId="77777777" w:rsidR="00784CED" w:rsidRPr="0059494B" w:rsidRDefault="00784CED" w:rsidP="00784CED">
            <w:pPr>
              <w:pStyle w:val="Prrafodelista"/>
              <w:widowControl w:val="0"/>
              <w:numPr>
                <w:ilvl w:val="4"/>
                <w:numId w:val="3"/>
              </w:numPr>
              <w:tabs>
                <w:tab w:val="left" w:pos="315"/>
              </w:tabs>
              <w:ind w:left="315"/>
              <w:rPr>
                <w:rFonts w:asciiTheme="majorHAnsi" w:hAnsiTheme="majorHAnsi" w:cstheme="majorHAnsi"/>
                <w:sz w:val="22"/>
                <w:szCs w:val="22"/>
              </w:rPr>
            </w:pPr>
            <w:r w:rsidRPr="0059494B">
              <w:rPr>
                <w:rFonts w:asciiTheme="majorHAnsi" w:eastAsia="Calibri" w:hAnsiTheme="majorHAnsi" w:cstheme="majorHAnsi"/>
                <w:sz w:val="22"/>
                <w:szCs w:val="22"/>
              </w:rPr>
              <w:t>Los honorarios del líder y/o equipo emprendedor podrán ser cubiertos con RNR. Adicionalmente, la dedicación del equipo emprendedor puede ser considerada como aporte no monetario.</w:t>
            </w:r>
          </w:p>
          <w:p w14:paraId="7B54ACA1"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Beneficios laborales del equipo emprendedor, CTS y cualquier otro tipo de beneficio laboral sólo como aporte monetario. </w:t>
            </w:r>
          </w:p>
          <w:p w14:paraId="7A6FA860"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Los gastos de honorarios para el equipo emprendedor no pueden superar el 40% del Capital Semilla. </w:t>
            </w:r>
          </w:p>
          <w:p w14:paraId="289B6FE0" w14:textId="77777777" w:rsidR="00784CED" w:rsidRPr="0059494B" w:rsidRDefault="00784CED" w:rsidP="00076D70">
            <w:pPr>
              <w:widowControl w:val="0"/>
              <w:ind w:left="300"/>
              <w:rPr>
                <w:rFonts w:asciiTheme="majorHAnsi" w:hAnsiTheme="majorHAnsi" w:cstheme="majorHAnsi"/>
                <w:sz w:val="22"/>
                <w:szCs w:val="22"/>
              </w:rPr>
            </w:pPr>
          </w:p>
        </w:tc>
      </w:tr>
      <w:tr w:rsidR="00784CED" w:rsidRPr="0059494B" w14:paraId="7FB46A01" w14:textId="77777777" w:rsidTr="00076D70">
        <w:trPr>
          <w:trHeight w:val="58"/>
          <w:jc w:val="center"/>
        </w:trPr>
        <w:tc>
          <w:tcPr>
            <w:tcW w:w="8647" w:type="dxa"/>
            <w:gridSpan w:val="2"/>
            <w:shd w:val="clear" w:color="auto" w:fill="F2F2F2" w:themeFill="background1" w:themeFillShade="F2"/>
          </w:tcPr>
          <w:p w14:paraId="4F72BC73" w14:textId="77777777" w:rsidR="00784CED" w:rsidRPr="0059494B" w:rsidRDefault="00784CED" w:rsidP="00076D7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Materiales e insumos</w:t>
            </w:r>
          </w:p>
        </w:tc>
      </w:tr>
      <w:tr w:rsidR="00784CED" w:rsidRPr="0059494B" w14:paraId="39CA01F2" w14:textId="77777777" w:rsidTr="00076D70">
        <w:trPr>
          <w:trHeight w:val="405"/>
          <w:jc w:val="center"/>
        </w:trPr>
        <w:tc>
          <w:tcPr>
            <w:tcW w:w="2122" w:type="dxa"/>
          </w:tcPr>
          <w:p w14:paraId="4753AD96" w14:textId="77777777" w:rsidR="00784CED" w:rsidRPr="0059494B" w:rsidRDefault="00784CED" w:rsidP="00076D70">
            <w:pPr>
              <w:widowControl w:val="0"/>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Materiales e insumos para las actividades del proyecto </w:t>
            </w:r>
          </w:p>
        </w:tc>
        <w:tc>
          <w:tcPr>
            <w:tcW w:w="6525" w:type="dxa"/>
          </w:tcPr>
          <w:p w14:paraId="70372BD4" w14:textId="77777777" w:rsidR="00784CED" w:rsidRPr="0059494B" w:rsidRDefault="00784CED" w:rsidP="00784CED">
            <w:pPr>
              <w:pStyle w:val="Prrafodelista"/>
              <w:widowControl w:val="0"/>
              <w:numPr>
                <w:ilvl w:val="4"/>
                <w:numId w:val="3"/>
              </w:numPr>
              <w:tabs>
                <w:tab w:val="left" w:pos="315"/>
              </w:tabs>
              <w:ind w:left="315"/>
              <w:rPr>
                <w:rFonts w:asciiTheme="majorHAnsi" w:hAnsiTheme="majorHAnsi" w:cstheme="majorHAnsi"/>
                <w:sz w:val="22"/>
                <w:szCs w:val="22"/>
              </w:rPr>
            </w:pPr>
            <w:r w:rsidRPr="0059494B">
              <w:rPr>
                <w:rFonts w:asciiTheme="majorHAnsi" w:eastAsia="Calibri" w:hAnsiTheme="majorHAnsi" w:cstheme="majorHAnsi"/>
                <w:sz w:val="22"/>
                <w:szCs w:val="22"/>
              </w:rPr>
              <w:t>Adquisición de los materiales e insumos para las actividades del proyecto.</w:t>
            </w:r>
          </w:p>
          <w:p w14:paraId="0F996A24" w14:textId="77777777" w:rsidR="00784CED" w:rsidRPr="0059494B" w:rsidRDefault="00784CED" w:rsidP="00784CED">
            <w:pPr>
              <w:pStyle w:val="Prrafodelista"/>
              <w:widowControl w:val="0"/>
              <w:numPr>
                <w:ilvl w:val="4"/>
                <w:numId w:val="3"/>
              </w:numPr>
              <w:tabs>
                <w:tab w:val="left" w:pos="315"/>
              </w:tabs>
              <w:ind w:left="315"/>
              <w:rPr>
                <w:rFonts w:asciiTheme="majorHAnsi" w:hAnsiTheme="majorHAnsi" w:cstheme="majorHAnsi"/>
                <w:sz w:val="22"/>
                <w:szCs w:val="22"/>
              </w:rPr>
            </w:pPr>
            <w:r w:rsidRPr="0059494B">
              <w:rPr>
                <w:rFonts w:asciiTheme="majorHAnsi" w:eastAsia="Calibri" w:hAnsiTheme="majorHAnsi" w:cstheme="majorHAnsi"/>
                <w:sz w:val="22"/>
                <w:szCs w:val="22"/>
              </w:rPr>
              <w:t>Pueden financiarse con RNR y aporte monetario o no monetario del equipo. No existe restricción de montos o porcentajes.</w:t>
            </w:r>
          </w:p>
          <w:p w14:paraId="0B899FF4" w14:textId="77777777" w:rsidR="00784CED" w:rsidRPr="0059494B" w:rsidRDefault="00784CED" w:rsidP="00076D70">
            <w:pPr>
              <w:widowControl w:val="0"/>
              <w:pBdr>
                <w:top w:val="nil"/>
                <w:left w:val="nil"/>
                <w:bottom w:val="nil"/>
                <w:right w:val="nil"/>
                <w:between w:val="nil"/>
              </w:pBdr>
              <w:tabs>
                <w:tab w:val="left" w:pos="315"/>
              </w:tabs>
              <w:rPr>
                <w:rFonts w:asciiTheme="majorHAnsi" w:eastAsia="Calibri" w:hAnsiTheme="majorHAnsi" w:cstheme="majorHAnsi"/>
                <w:sz w:val="22"/>
                <w:szCs w:val="22"/>
              </w:rPr>
            </w:pPr>
          </w:p>
        </w:tc>
      </w:tr>
      <w:tr w:rsidR="00784CED" w:rsidRPr="0059494B" w14:paraId="108723BC" w14:textId="77777777" w:rsidTr="00076D70">
        <w:trPr>
          <w:trHeight w:val="405"/>
          <w:jc w:val="center"/>
        </w:trPr>
        <w:tc>
          <w:tcPr>
            <w:tcW w:w="2122" w:type="dxa"/>
          </w:tcPr>
          <w:p w14:paraId="15B9847F" w14:textId="77777777" w:rsidR="00784CED" w:rsidRPr="0059494B" w:rsidRDefault="00784CED" w:rsidP="00076D70">
            <w:pPr>
              <w:widowControl w:val="0"/>
              <w:rPr>
                <w:rFonts w:asciiTheme="majorHAnsi" w:eastAsia="Calibri" w:hAnsiTheme="majorHAnsi" w:cstheme="majorHAnsi"/>
                <w:sz w:val="22"/>
                <w:szCs w:val="22"/>
              </w:rPr>
            </w:pPr>
            <w:r w:rsidRPr="0059494B">
              <w:rPr>
                <w:rFonts w:asciiTheme="majorHAnsi" w:eastAsia="Calibri" w:hAnsiTheme="majorHAnsi" w:cstheme="majorHAnsi"/>
                <w:sz w:val="22"/>
                <w:szCs w:val="22"/>
              </w:rPr>
              <w:t>Material bibliográfico y bases de datos especializadas</w:t>
            </w:r>
          </w:p>
        </w:tc>
        <w:tc>
          <w:tcPr>
            <w:tcW w:w="6525" w:type="dxa"/>
          </w:tcPr>
          <w:p w14:paraId="091CBEFA"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Adquisición o suscripción a bases de datos especializadas y a redes de información necesarias para el proyecto, en formato físico o electrónico. Sólo podrá contratarse la suscripción como máximo por el tiempo del proyecto.</w:t>
            </w:r>
          </w:p>
          <w:p w14:paraId="2ED73132"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Pueden financiarse con RNR y aporte monetario o no monetario del equipo. No existe límite de contratación.</w:t>
            </w:r>
          </w:p>
        </w:tc>
      </w:tr>
      <w:tr w:rsidR="00784CED" w:rsidRPr="0059494B" w14:paraId="64544F84" w14:textId="77777777" w:rsidTr="00076D70">
        <w:trPr>
          <w:trHeight w:val="300"/>
          <w:jc w:val="center"/>
        </w:trPr>
        <w:tc>
          <w:tcPr>
            <w:tcW w:w="8647" w:type="dxa"/>
            <w:gridSpan w:val="2"/>
            <w:shd w:val="clear" w:color="auto" w:fill="F2F2F2" w:themeFill="background1" w:themeFillShade="F2"/>
          </w:tcPr>
          <w:p w14:paraId="2B728B3C" w14:textId="77777777" w:rsidR="00784CED" w:rsidRPr="0059494B" w:rsidRDefault="00784CED" w:rsidP="00076D7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Consultorías especializadas</w:t>
            </w:r>
          </w:p>
        </w:tc>
      </w:tr>
      <w:tr w:rsidR="00784CED" w:rsidRPr="0059494B" w14:paraId="30B8E261" w14:textId="77777777" w:rsidTr="00076D70">
        <w:trPr>
          <w:trHeight w:val="58"/>
          <w:jc w:val="center"/>
        </w:trPr>
        <w:tc>
          <w:tcPr>
            <w:tcW w:w="2122" w:type="dxa"/>
            <w:shd w:val="clear" w:color="auto" w:fill="FFFFFF" w:themeFill="background1"/>
          </w:tcPr>
          <w:p w14:paraId="117B692D" w14:textId="77777777" w:rsidR="00784CED" w:rsidRPr="0059494B" w:rsidRDefault="00784CED" w:rsidP="00076D70">
            <w:pPr>
              <w:widowControl w:val="0"/>
              <w:rPr>
                <w:rFonts w:asciiTheme="majorHAnsi" w:eastAsia="Calibri" w:hAnsiTheme="majorHAnsi" w:cstheme="majorHAnsi"/>
                <w:sz w:val="22"/>
                <w:szCs w:val="22"/>
              </w:rPr>
            </w:pPr>
            <w:r w:rsidRPr="0059494B">
              <w:rPr>
                <w:rFonts w:asciiTheme="majorHAnsi" w:eastAsia="Calibri" w:hAnsiTheme="majorHAnsi" w:cstheme="majorHAnsi"/>
                <w:sz w:val="22"/>
                <w:szCs w:val="22"/>
              </w:rPr>
              <w:t>Asesorías individuales o de empresas</w:t>
            </w:r>
          </w:p>
        </w:tc>
        <w:tc>
          <w:tcPr>
            <w:tcW w:w="6525" w:type="dxa"/>
            <w:shd w:val="clear" w:color="auto" w:fill="FFFFFF" w:themeFill="background1"/>
          </w:tcPr>
          <w:p w14:paraId="467E9E3E"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Asesorías especializadas de expertos o empresas, nacionales o extranjeras, en temas y periodos específicos del proyecto. Dentro de este rubro también se puede financiar servicios de especialistas para capacitación al Equipo Emprendedor en temas asociados al </w:t>
            </w:r>
            <w:r w:rsidRPr="0059494B">
              <w:rPr>
                <w:rFonts w:asciiTheme="majorHAnsi" w:eastAsia="Calibri" w:hAnsiTheme="majorHAnsi" w:cstheme="majorHAnsi"/>
                <w:sz w:val="22"/>
                <w:szCs w:val="22"/>
              </w:rPr>
              <w:lastRenderedPageBreak/>
              <w:t>proyecto.</w:t>
            </w:r>
          </w:p>
          <w:p w14:paraId="02898186"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Las asesorías deben costearse a suma alzada a todo costo, es decir incluyendo dentro del costo total los honorarios, viáticos y pasajes de los especialistas o empresas contratadas.</w:t>
            </w:r>
          </w:p>
          <w:p w14:paraId="703AB2B7"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Los asesores o consultores no pueden formar parte del Equipo Emprendedor ni ser trabajadores de la empresa en caso postulen como persona jurídica.</w:t>
            </w:r>
          </w:p>
          <w:p w14:paraId="16E709CD"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No existe restricción de montos o porcentajes.</w:t>
            </w:r>
          </w:p>
          <w:p w14:paraId="386FB67E" w14:textId="77777777" w:rsidR="00784CED" w:rsidRPr="0059494B" w:rsidRDefault="00784CED" w:rsidP="00076D70">
            <w:pPr>
              <w:widowControl w:val="0"/>
              <w:tabs>
                <w:tab w:val="left" w:pos="315"/>
              </w:tabs>
              <w:rPr>
                <w:rFonts w:asciiTheme="majorHAnsi" w:eastAsia="Calibri" w:hAnsiTheme="majorHAnsi" w:cstheme="majorHAnsi"/>
                <w:sz w:val="22"/>
                <w:szCs w:val="22"/>
              </w:rPr>
            </w:pPr>
          </w:p>
        </w:tc>
      </w:tr>
      <w:tr w:rsidR="00784CED" w:rsidRPr="0059494B" w14:paraId="62F1B759" w14:textId="77777777" w:rsidTr="00076D70">
        <w:trPr>
          <w:trHeight w:val="58"/>
          <w:jc w:val="center"/>
        </w:trPr>
        <w:tc>
          <w:tcPr>
            <w:tcW w:w="8647" w:type="dxa"/>
            <w:gridSpan w:val="2"/>
            <w:shd w:val="clear" w:color="auto" w:fill="F2F2F2" w:themeFill="background1" w:themeFillShade="F2"/>
          </w:tcPr>
          <w:p w14:paraId="3FD17E94" w14:textId="77777777" w:rsidR="00784CED" w:rsidRPr="0059494B" w:rsidRDefault="00784CED" w:rsidP="00076D7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lastRenderedPageBreak/>
              <w:t xml:space="preserve"> Servicios tecnológicos y empresariales</w:t>
            </w:r>
          </w:p>
        </w:tc>
      </w:tr>
      <w:tr w:rsidR="00784CED" w:rsidRPr="0059494B" w14:paraId="218941F6" w14:textId="77777777" w:rsidTr="00076D70">
        <w:trPr>
          <w:trHeight w:val="694"/>
          <w:jc w:val="center"/>
        </w:trPr>
        <w:tc>
          <w:tcPr>
            <w:tcW w:w="2122" w:type="dxa"/>
          </w:tcPr>
          <w:p w14:paraId="6E13CB63" w14:textId="77777777" w:rsidR="00784CED" w:rsidRPr="0059494B" w:rsidRDefault="00784CED" w:rsidP="00076D70">
            <w:pPr>
              <w:widowControl w:val="0"/>
              <w:tabs>
                <w:tab w:val="left" w:pos="297"/>
              </w:tabs>
              <w:rPr>
                <w:rFonts w:asciiTheme="majorHAnsi" w:eastAsia="Calibri" w:hAnsiTheme="majorHAnsi" w:cstheme="majorHAnsi"/>
                <w:sz w:val="22"/>
                <w:szCs w:val="22"/>
              </w:rPr>
            </w:pPr>
            <w:r w:rsidRPr="0059494B">
              <w:rPr>
                <w:rFonts w:asciiTheme="majorHAnsi" w:eastAsia="Calibri" w:hAnsiTheme="majorHAnsi" w:cstheme="majorHAnsi"/>
                <w:sz w:val="22"/>
                <w:szCs w:val="22"/>
              </w:rPr>
              <w:t>Servicios de terceros vinculados a las actividades del proyecto</w:t>
            </w:r>
          </w:p>
        </w:tc>
        <w:tc>
          <w:tcPr>
            <w:tcW w:w="6525" w:type="dxa"/>
          </w:tcPr>
          <w:p w14:paraId="086E910D"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Servicios tecnológicos y empresariales necesarios para el proyecto.</w:t>
            </w:r>
          </w:p>
          <w:p w14:paraId="14BF4B69"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Otros servicios asociados al prototipado y validación de los productos, servicios o formas de comercialización, así como actividades finales para el desarrollo comercial</w:t>
            </w:r>
            <w:r w:rsidRPr="0059494B">
              <w:rPr>
                <w:rStyle w:val="Refdenotaalpie"/>
                <w:rFonts w:asciiTheme="majorHAnsi" w:eastAsia="Calibri" w:hAnsiTheme="majorHAnsi" w:cstheme="majorHAnsi"/>
                <w:sz w:val="22"/>
                <w:szCs w:val="22"/>
              </w:rPr>
              <w:footnoteReference w:id="4"/>
            </w:r>
            <w:r w:rsidRPr="0059494B">
              <w:rPr>
                <w:rFonts w:asciiTheme="majorHAnsi" w:eastAsia="Calibri" w:hAnsiTheme="majorHAnsi" w:cstheme="majorHAnsi"/>
                <w:sz w:val="22"/>
                <w:szCs w:val="22"/>
              </w:rPr>
              <w:t>.</w:t>
            </w:r>
          </w:p>
          <w:p w14:paraId="09BCAAA7"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Actividades de marketing digital, incluyendo suscripciones, páginas web y publicidad digital, entre otros afines.</w:t>
            </w:r>
          </w:p>
          <w:p w14:paraId="25EB824A"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Se puede financiar con RNR o aporte monetario del equipo. No existe restricción de montos o porcentajes.</w:t>
            </w:r>
          </w:p>
          <w:p w14:paraId="56F21E82" w14:textId="77777777" w:rsidR="00784CED" w:rsidRPr="0059494B" w:rsidRDefault="00784CED" w:rsidP="00076D70">
            <w:pPr>
              <w:widowControl w:val="0"/>
              <w:tabs>
                <w:tab w:val="left" w:pos="315"/>
              </w:tabs>
              <w:rPr>
                <w:rFonts w:asciiTheme="majorHAnsi" w:eastAsia="Calibri" w:hAnsiTheme="majorHAnsi" w:cstheme="majorHAnsi"/>
                <w:sz w:val="22"/>
                <w:szCs w:val="22"/>
              </w:rPr>
            </w:pPr>
          </w:p>
        </w:tc>
      </w:tr>
      <w:tr w:rsidR="00784CED" w:rsidRPr="0059494B" w14:paraId="2C164224" w14:textId="77777777" w:rsidTr="00076D70">
        <w:trPr>
          <w:trHeight w:val="694"/>
          <w:jc w:val="center"/>
        </w:trPr>
        <w:tc>
          <w:tcPr>
            <w:tcW w:w="2122" w:type="dxa"/>
          </w:tcPr>
          <w:p w14:paraId="29B440F4" w14:textId="77777777" w:rsidR="00784CED" w:rsidRPr="0059494B" w:rsidRDefault="00784CED" w:rsidP="00076D70">
            <w:pPr>
              <w:widowControl w:val="0"/>
              <w:tabs>
                <w:tab w:val="left" w:pos="297"/>
              </w:tabs>
              <w:rPr>
                <w:rFonts w:asciiTheme="majorHAnsi" w:eastAsia="Calibri" w:hAnsiTheme="majorHAnsi" w:cstheme="majorHAnsi"/>
                <w:sz w:val="22"/>
                <w:szCs w:val="22"/>
              </w:rPr>
            </w:pPr>
            <w:r w:rsidRPr="0059494B">
              <w:rPr>
                <w:rFonts w:asciiTheme="majorHAnsi" w:eastAsia="Calibri" w:hAnsiTheme="majorHAnsi" w:cstheme="majorHAnsi"/>
                <w:sz w:val="22"/>
                <w:szCs w:val="22"/>
              </w:rPr>
              <w:t>Licencias por uso de propiedad intelectual</w:t>
            </w:r>
          </w:p>
        </w:tc>
        <w:tc>
          <w:tcPr>
            <w:tcW w:w="6525" w:type="dxa"/>
          </w:tcPr>
          <w:p w14:paraId="032C882B"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Pago por el uso de propiedad intelectual registrada a nombre de terceros, tales como software o licencias.</w:t>
            </w:r>
          </w:p>
          <w:p w14:paraId="5E707D96"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Pueden financiarse con RNR y aporte monetario o no monetario. No existe restricción de montos o porcentajes.</w:t>
            </w:r>
          </w:p>
          <w:p w14:paraId="1C8EC487" w14:textId="77777777" w:rsidR="00784CED" w:rsidRPr="0059494B" w:rsidRDefault="00784CED" w:rsidP="00076D70">
            <w:pPr>
              <w:pStyle w:val="Prrafodelista"/>
              <w:widowControl w:val="0"/>
              <w:tabs>
                <w:tab w:val="left" w:pos="315"/>
              </w:tabs>
              <w:ind w:left="315"/>
              <w:rPr>
                <w:rFonts w:asciiTheme="majorHAnsi" w:eastAsia="Calibri" w:hAnsiTheme="majorHAnsi" w:cstheme="majorHAnsi"/>
                <w:sz w:val="22"/>
                <w:szCs w:val="22"/>
              </w:rPr>
            </w:pPr>
          </w:p>
        </w:tc>
      </w:tr>
      <w:tr w:rsidR="00784CED" w:rsidRPr="0059494B" w14:paraId="36E8F2A9" w14:textId="77777777" w:rsidTr="00076D70">
        <w:trPr>
          <w:trHeight w:val="694"/>
          <w:jc w:val="center"/>
        </w:trPr>
        <w:tc>
          <w:tcPr>
            <w:tcW w:w="2122" w:type="dxa"/>
          </w:tcPr>
          <w:p w14:paraId="6CF42369" w14:textId="77777777" w:rsidR="00784CED" w:rsidRPr="0059494B" w:rsidRDefault="00784CED" w:rsidP="00076D70">
            <w:pPr>
              <w:widowControl w:val="0"/>
              <w:tabs>
                <w:tab w:val="left" w:pos="297"/>
              </w:tabs>
              <w:rPr>
                <w:rFonts w:asciiTheme="majorHAnsi" w:eastAsia="Calibri" w:hAnsiTheme="majorHAnsi" w:cstheme="majorHAnsi"/>
                <w:sz w:val="22"/>
                <w:szCs w:val="22"/>
              </w:rPr>
            </w:pPr>
            <w:r w:rsidRPr="0059494B">
              <w:rPr>
                <w:rFonts w:asciiTheme="majorHAnsi" w:eastAsia="Calibri" w:hAnsiTheme="majorHAnsi" w:cstheme="majorHAnsi"/>
                <w:sz w:val="22"/>
                <w:szCs w:val="22"/>
              </w:rPr>
              <w:t>Difusión y transferencia del conocimiento del proyecto</w:t>
            </w:r>
          </w:p>
        </w:tc>
        <w:tc>
          <w:tcPr>
            <w:tcW w:w="6525" w:type="dxa"/>
          </w:tcPr>
          <w:p w14:paraId="6CFF6628"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Taller de cierre de carácter público para la difusión de los resultados finales del proyecto. Es una actividad obligatoria.</w:t>
            </w:r>
          </w:p>
          <w:p w14:paraId="1CFF05D8"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Pueden financiarse con RNR y aporte monetario o no monetario. </w:t>
            </w:r>
          </w:p>
          <w:p w14:paraId="7E8FE5F0"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Los gastos para difusión y transferencia del conocimiento del proyecto no pueden superar el 5% del Capital Semilla.</w:t>
            </w:r>
          </w:p>
          <w:p w14:paraId="71752A69" w14:textId="77777777" w:rsidR="00784CED" w:rsidRPr="0059494B" w:rsidRDefault="00784CED" w:rsidP="00076D70">
            <w:pPr>
              <w:pStyle w:val="Prrafodelista"/>
              <w:widowControl w:val="0"/>
              <w:tabs>
                <w:tab w:val="left" w:pos="315"/>
              </w:tabs>
              <w:ind w:left="315"/>
              <w:rPr>
                <w:rFonts w:asciiTheme="majorHAnsi" w:eastAsia="Calibri" w:hAnsiTheme="majorHAnsi" w:cstheme="majorHAnsi"/>
                <w:sz w:val="22"/>
                <w:szCs w:val="22"/>
              </w:rPr>
            </w:pPr>
          </w:p>
        </w:tc>
      </w:tr>
      <w:tr w:rsidR="00784CED" w:rsidRPr="0059494B" w14:paraId="450D4EAE" w14:textId="77777777" w:rsidTr="00076D70">
        <w:trPr>
          <w:trHeight w:val="58"/>
          <w:jc w:val="center"/>
        </w:trPr>
        <w:tc>
          <w:tcPr>
            <w:tcW w:w="8647" w:type="dxa"/>
            <w:gridSpan w:val="2"/>
            <w:shd w:val="clear" w:color="auto" w:fill="F2F2F2" w:themeFill="background1" w:themeFillShade="F2"/>
          </w:tcPr>
          <w:p w14:paraId="21B20241" w14:textId="77777777" w:rsidR="00784CED" w:rsidRPr="0059494B" w:rsidRDefault="00784CED" w:rsidP="00076D7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Pasajes y viáticos</w:t>
            </w:r>
          </w:p>
        </w:tc>
      </w:tr>
      <w:tr w:rsidR="00784CED" w:rsidRPr="0059494B" w14:paraId="1832FA0C" w14:textId="77777777" w:rsidTr="00076D70">
        <w:trPr>
          <w:trHeight w:val="2107"/>
          <w:jc w:val="center"/>
        </w:trPr>
        <w:tc>
          <w:tcPr>
            <w:tcW w:w="2122" w:type="dxa"/>
          </w:tcPr>
          <w:p w14:paraId="2A904599" w14:textId="77777777" w:rsidR="00784CED" w:rsidRPr="0059494B" w:rsidRDefault="00784CED" w:rsidP="00076D70">
            <w:pPr>
              <w:widowControl w:val="0"/>
              <w:tabs>
                <w:tab w:val="left" w:pos="297"/>
              </w:tabs>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Pasajes y viáticos para trabajo de campo y capacitación, eventos de </w:t>
            </w:r>
            <w:proofErr w:type="spellStart"/>
            <w:r w:rsidRPr="0059494B">
              <w:rPr>
                <w:rFonts w:asciiTheme="majorHAnsi" w:eastAsia="Calibri" w:hAnsiTheme="majorHAnsi" w:cstheme="majorHAnsi"/>
                <w:sz w:val="22"/>
                <w:szCs w:val="22"/>
              </w:rPr>
              <w:t>networking</w:t>
            </w:r>
            <w:proofErr w:type="spellEnd"/>
            <w:r w:rsidRPr="0059494B">
              <w:rPr>
                <w:rFonts w:asciiTheme="majorHAnsi" w:eastAsia="Calibri" w:hAnsiTheme="majorHAnsi" w:cstheme="majorHAnsi"/>
                <w:sz w:val="22"/>
                <w:szCs w:val="22"/>
              </w:rPr>
              <w:t xml:space="preserve"> y participación en programas de incubación o aceleración en el extranjero</w:t>
            </w:r>
          </w:p>
        </w:tc>
        <w:tc>
          <w:tcPr>
            <w:tcW w:w="6525" w:type="dxa"/>
          </w:tcPr>
          <w:p w14:paraId="7BCAD6FE"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Pasajes y viáticos nacionales o internacionales; se financian exclusivamente para el Equipo Emprendedor y según la escala de viáticos permitida (*).</w:t>
            </w:r>
          </w:p>
          <w:p w14:paraId="2FA6DB5D"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Se usan para la realización de actividades de capacitación y </w:t>
            </w:r>
            <w:proofErr w:type="spellStart"/>
            <w:r w:rsidRPr="0059494B">
              <w:rPr>
                <w:rFonts w:asciiTheme="majorHAnsi" w:eastAsia="Calibri" w:hAnsiTheme="majorHAnsi" w:cstheme="majorHAnsi"/>
                <w:sz w:val="22"/>
                <w:szCs w:val="22"/>
              </w:rPr>
              <w:t>networking</w:t>
            </w:r>
            <w:proofErr w:type="spellEnd"/>
            <w:r w:rsidRPr="0059494B">
              <w:rPr>
                <w:rFonts w:asciiTheme="majorHAnsi" w:eastAsia="Calibri" w:hAnsiTheme="majorHAnsi" w:cstheme="majorHAnsi"/>
                <w:sz w:val="22"/>
                <w:szCs w:val="22"/>
              </w:rPr>
              <w:t xml:space="preserve"> (seminarios, pasantías, congresos, cursos cortos, demos </w:t>
            </w:r>
            <w:proofErr w:type="spellStart"/>
            <w:r w:rsidRPr="0059494B">
              <w:rPr>
                <w:rFonts w:asciiTheme="majorHAnsi" w:eastAsia="Calibri" w:hAnsiTheme="majorHAnsi" w:cstheme="majorHAnsi"/>
                <w:sz w:val="22"/>
                <w:szCs w:val="22"/>
              </w:rPr>
              <w:t>days</w:t>
            </w:r>
            <w:proofErr w:type="spellEnd"/>
            <w:r w:rsidRPr="0059494B">
              <w:rPr>
                <w:rFonts w:asciiTheme="majorHAnsi" w:eastAsia="Calibri" w:hAnsiTheme="majorHAnsi" w:cstheme="majorHAnsi"/>
                <w:sz w:val="22"/>
                <w:szCs w:val="22"/>
              </w:rPr>
              <w:t>, competencias internacionales, ruedas de negocios, etc.) relacionados directamente con el proyecto.</w:t>
            </w:r>
          </w:p>
          <w:p w14:paraId="2F3A59D3"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Pasajes y viáticos para participar de procesos o eventos de incubación o aceleración nacionales o en el extranjero.</w:t>
            </w:r>
          </w:p>
          <w:p w14:paraId="6C94C1BA"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Pueden financiarse con RNR y aporte monetario. Los gastos para pasajes y viáticos no pueden superar el 20% del Capital Semilla.</w:t>
            </w:r>
          </w:p>
          <w:p w14:paraId="21D8E0C0" w14:textId="77777777" w:rsidR="00784CED" w:rsidRPr="0059494B" w:rsidRDefault="00784CED" w:rsidP="00076D70">
            <w:pPr>
              <w:widowControl w:val="0"/>
              <w:ind w:left="283"/>
              <w:rPr>
                <w:rFonts w:asciiTheme="majorHAnsi" w:hAnsiTheme="majorHAnsi" w:cstheme="majorHAnsi"/>
                <w:sz w:val="22"/>
                <w:szCs w:val="22"/>
              </w:rPr>
            </w:pPr>
          </w:p>
        </w:tc>
      </w:tr>
      <w:tr w:rsidR="00784CED" w:rsidRPr="0059494B" w14:paraId="40E01986" w14:textId="77777777" w:rsidTr="00076D70">
        <w:trPr>
          <w:trHeight w:val="220"/>
          <w:jc w:val="center"/>
        </w:trPr>
        <w:tc>
          <w:tcPr>
            <w:tcW w:w="8647" w:type="dxa"/>
            <w:gridSpan w:val="2"/>
            <w:shd w:val="clear" w:color="auto" w:fill="F2F2F2" w:themeFill="background1" w:themeFillShade="F2"/>
          </w:tcPr>
          <w:p w14:paraId="76AF5F18" w14:textId="77777777" w:rsidR="00784CED" w:rsidRPr="0059494B" w:rsidRDefault="00784CED" w:rsidP="00076D7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Equipos y bienes duraderos</w:t>
            </w:r>
          </w:p>
        </w:tc>
      </w:tr>
      <w:tr w:rsidR="00784CED" w:rsidRPr="0059494B" w14:paraId="3E246CA2" w14:textId="77777777" w:rsidTr="00076D70">
        <w:trPr>
          <w:trHeight w:val="220"/>
          <w:jc w:val="center"/>
        </w:trPr>
        <w:tc>
          <w:tcPr>
            <w:tcW w:w="8647" w:type="dxa"/>
            <w:gridSpan w:val="2"/>
          </w:tcPr>
          <w:p w14:paraId="7040029E"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Equipos menores relacionados al desarrollo del proyecto.</w:t>
            </w:r>
          </w:p>
          <w:p w14:paraId="62B1588A"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lastRenderedPageBreak/>
              <w:t>Pueden financiarse con RNR y aporte monetario del equipo.</w:t>
            </w:r>
          </w:p>
          <w:p w14:paraId="489E8AC3"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Los gastos en equipos y bienes duraderos no pueden superar el 25% del Capital Semilla.</w:t>
            </w:r>
          </w:p>
          <w:p w14:paraId="053E3283" w14:textId="77777777" w:rsidR="00784CED" w:rsidRPr="0059494B" w:rsidRDefault="00784CED" w:rsidP="00076D70">
            <w:pPr>
              <w:widowControl w:val="0"/>
              <w:tabs>
                <w:tab w:val="left" w:pos="315"/>
              </w:tabs>
              <w:rPr>
                <w:rFonts w:asciiTheme="majorHAnsi" w:eastAsia="Calibri" w:hAnsiTheme="majorHAnsi" w:cstheme="majorHAnsi"/>
                <w:sz w:val="22"/>
                <w:szCs w:val="22"/>
              </w:rPr>
            </w:pPr>
          </w:p>
        </w:tc>
      </w:tr>
      <w:tr w:rsidR="00784CED" w:rsidRPr="0059494B" w14:paraId="3D511D1E" w14:textId="77777777" w:rsidTr="00076D70">
        <w:trPr>
          <w:trHeight w:val="58"/>
          <w:jc w:val="center"/>
        </w:trPr>
        <w:tc>
          <w:tcPr>
            <w:tcW w:w="8647" w:type="dxa"/>
            <w:gridSpan w:val="2"/>
            <w:shd w:val="clear" w:color="auto" w:fill="F2F2F2" w:themeFill="background1" w:themeFillShade="F2"/>
          </w:tcPr>
          <w:p w14:paraId="166860AA" w14:textId="77777777" w:rsidR="00784CED" w:rsidRPr="0059494B" w:rsidRDefault="00784CED" w:rsidP="00076D70">
            <w:pPr>
              <w:pBdr>
                <w:top w:val="nil"/>
                <w:left w:val="nil"/>
                <w:bottom w:val="nil"/>
                <w:right w:val="nil"/>
                <w:between w:val="nil"/>
              </w:pBdr>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lastRenderedPageBreak/>
              <w:t>Nota: Gastos sólo financiables con aporte monetario del equipo (no se financia con RNR)</w:t>
            </w:r>
          </w:p>
        </w:tc>
      </w:tr>
      <w:tr w:rsidR="00784CED" w:rsidRPr="0059494B" w14:paraId="4EBFC8D5" w14:textId="77777777" w:rsidTr="00076D70">
        <w:trPr>
          <w:trHeight w:val="220"/>
          <w:jc w:val="center"/>
        </w:trPr>
        <w:tc>
          <w:tcPr>
            <w:tcW w:w="8647" w:type="dxa"/>
            <w:gridSpan w:val="2"/>
          </w:tcPr>
          <w:p w14:paraId="6BD6ED0D" w14:textId="77777777" w:rsidR="00784CED" w:rsidRPr="0059494B" w:rsidRDefault="00784CED" w:rsidP="00784CED">
            <w:pPr>
              <w:pStyle w:val="Prrafodelista"/>
              <w:widowControl w:val="0"/>
              <w:numPr>
                <w:ilvl w:val="4"/>
                <w:numId w:val="3"/>
              </w:numPr>
              <w:tabs>
                <w:tab w:val="left" w:pos="315"/>
              </w:tabs>
              <w:ind w:left="315"/>
              <w:rPr>
                <w:rFonts w:asciiTheme="majorHAnsi" w:eastAsia="Calibri" w:hAnsiTheme="majorHAnsi" w:cstheme="majorHAnsi"/>
                <w:sz w:val="22"/>
                <w:szCs w:val="22"/>
              </w:rPr>
            </w:pPr>
            <w:r w:rsidRPr="0059494B">
              <w:rPr>
                <w:rFonts w:asciiTheme="majorHAnsi" w:eastAsia="Calibri" w:hAnsiTheme="majorHAnsi" w:cstheme="majorHAnsi"/>
                <w:sz w:val="22"/>
                <w:szCs w:val="22"/>
              </w:rPr>
              <w:t>IGV (impuesto general a las ventas) de facturas, fletes y desaduanaje.</w:t>
            </w:r>
          </w:p>
          <w:p w14:paraId="2F50EDCE" w14:textId="77777777" w:rsidR="00784CED" w:rsidRPr="0059494B" w:rsidRDefault="00784CED" w:rsidP="00076D70">
            <w:pPr>
              <w:widowControl w:val="0"/>
              <w:tabs>
                <w:tab w:val="left" w:pos="315"/>
              </w:tabs>
              <w:rPr>
                <w:rFonts w:asciiTheme="majorHAnsi" w:eastAsia="Calibri" w:hAnsiTheme="majorHAnsi" w:cstheme="majorHAnsi"/>
                <w:sz w:val="22"/>
                <w:szCs w:val="22"/>
              </w:rPr>
            </w:pPr>
          </w:p>
        </w:tc>
      </w:tr>
    </w:tbl>
    <w:p w14:paraId="2E887AC8" w14:textId="77777777" w:rsidR="00784CED" w:rsidRPr="0059494B" w:rsidRDefault="00784CED" w:rsidP="00784CED">
      <w:pPr>
        <w:jc w:val="both"/>
        <w:rPr>
          <w:rFonts w:asciiTheme="majorHAnsi" w:eastAsia="Calibri" w:hAnsiTheme="majorHAnsi" w:cstheme="majorHAnsi"/>
          <w:sz w:val="22"/>
          <w:szCs w:val="22"/>
        </w:rPr>
      </w:pPr>
      <w:bookmarkStart w:id="6" w:name="_2et92p0" w:colFirst="0" w:colLast="0"/>
      <w:bookmarkEnd w:id="6"/>
    </w:p>
    <w:p w14:paraId="44DB179C" w14:textId="77777777" w:rsidR="00784CED" w:rsidRPr="0059494B" w:rsidRDefault="00784CED" w:rsidP="00784CED">
      <w:pPr>
        <w:widowControl w:val="0"/>
        <w:autoSpaceDE w:val="0"/>
        <w:autoSpaceDN w:val="0"/>
        <w:ind w:right="273"/>
        <w:jc w:val="both"/>
        <w:rPr>
          <w:rFonts w:asciiTheme="majorHAnsi" w:hAnsiTheme="majorHAnsi" w:cstheme="majorHAnsi"/>
          <w:sz w:val="22"/>
          <w:szCs w:val="22"/>
        </w:rPr>
      </w:pPr>
      <w:r w:rsidRPr="0059494B">
        <w:rPr>
          <w:rFonts w:asciiTheme="majorHAnsi" w:hAnsiTheme="majorHAnsi" w:cstheme="majorHAnsi"/>
          <w:b/>
          <w:sz w:val="22"/>
          <w:szCs w:val="22"/>
        </w:rPr>
        <w:t>(*) Escala de viáticos permitida</w:t>
      </w:r>
    </w:p>
    <w:p w14:paraId="2425840E" w14:textId="77777777" w:rsidR="00784CED" w:rsidRPr="0059494B" w:rsidRDefault="00784CED" w:rsidP="00784CED">
      <w:pPr>
        <w:ind w:right="273"/>
        <w:rPr>
          <w:rFonts w:asciiTheme="majorHAnsi" w:hAnsiTheme="majorHAnsi" w:cstheme="majorHAnsi"/>
          <w:sz w:val="22"/>
          <w:szCs w:val="22"/>
        </w:rPr>
      </w:pPr>
      <w:r w:rsidRPr="0059494B">
        <w:rPr>
          <w:rFonts w:asciiTheme="majorHAnsi" w:hAnsiTheme="majorHAnsi" w:cstheme="majorHAnsi"/>
          <w:sz w:val="22"/>
          <w:szCs w:val="22"/>
        </w:rPr>
        <w:t>Escala de viáticos nacionales permitida:</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7"/>
        <w:gridCol w:w="2428"/>
      </w:tblGrid>
      <w:tr w:rsidR="00784CED" w:rsidRPr="0059494B" w14:paraId="463B7FEA" w14:textId="77777777" w:rsidTr="00076D70">
        <w:trPr>
          <w:trHeight w:val="54"/>
        </w:trPr>
        <w:tc>
          <w:tcPr>
            <w:tcW w:w="6077" w:type="dxa"/>
            <w:shd w:val="clear" w:color="auto" w:fill="F2F2F2" w:themeFill="background1" w:themeFillShade="F2"/>
          </w:tcPr>
          <w:p w14:paraId="4E47D265" w14:textId="77777777" w:rsidR="00784CED" w:rsidRPr="0059494B" w:rsidRDefault="00784CED" w:rsidP="00076D70">
            <w:pPr>
              <w:pStyle w:val="TableParagraph"/>
              <w:ind w:left="142" w:right="1785"/>
              <w:rPr>
                <w:rFonts w:asciiTheme="majorHAnsi" w:hAnsiTheme="majorHAnsi" w:cstheme="majorHAnsi"/>
                <w:b/>
                <w:lang w:eastAsia="es-PE"/>
              </w:rPr>
            </w:pPr>
            <w:r w:rsidRPr="0059494B">
              <w:rPr>
                <w:rFonts w:asciiTheme="majorHAnsi" w:hAnsiTheme="majorHAnsi" w:cstheme="majorHAnsi"/>
                <w:b/>
                <w:lang w:eastAsia="es-PE"/>
              </w:rPr>
              <w:t>Descripción</w:t>
            </w:r>
          </w:p>
        </w:tc>
        <w:tc>
          <w:tcPr>
            <w:tcW w:w="2428" w:type="dxa"/>
            <w:shd w:val="clear" w:color="auto" w:fill="F2F2F2" w:themeFill="background1" w:themeFillShade="F2"/>
          </w:tcPr>
          <w:p w14:paraId="345F4735" w14:textId="77777777" w:rsidR="00784CED" w:rsidRPr="0059494B" w:rsidRDefault="00784CED" w:rsidP="00076D70">
            <w:pPr>
              <w:pStyle w:val="TableParagraph"/>
              <w:jc w:val="center"/>
              <w:rPr>
                <w:rFonts w:asciiTheme="majorHAnsi" w:hAnsiTheme="majorHAnsi" w:cstheme="majorHAnsi"/>
                <w:b/>
                <w:lang w:eastAsia="es-PE"/>
              </w:rPr>
            </w:pPr>
            <w:r w:rsidRPr="0059494B">
              <w:rPr>
                <w:rFonts w:asciiTheme="majorHAnsi" w:hAnsiTheme="majorHAnsi" w:cstheme="majorHAnsi"/>
                <w:b/>
                <w:lang w:eastAsia="es-PE"/>
              </w:rPr>
              <w:t>Asignación Diaria (PEN)</w:t>
            </w:r>
          </w:p>
        </w:tc>
      </w:tr>
      <w:tr w:rsidR="00784CED" w:rsidRPr="0059494B" w14:paraId="48252E20" w14:textId="77777777" w:rsidTr="00076D70">
        <w:trPr>
          <w:trHeight w:val="54"/>
        </w:trPr>
        <w:tc>
          <w:tcPr>
            <w:tcW w:w="6077" w:type="dxa"/>
            <w:shd w:val="clear" w:color="auto" w:fill="auto"/>
          </w:tcPr>
          <w:p w14:paraId="73A70EAB"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Viáticos: Alimentación, hospedaje y movilidad local</w:t>
            </w:r>
          </w:p>
        </w:tc>
        <w:tc>
          <w:tcPr>
            <w:tcW w:w="2428" w:type="dxa"/>
            <w:shd w:val="clear" w:color="auto" w:fill="auto"/>
          </w:tcPr>
          <w:p w14:paraId="6AEAAE14" w14:textId="77777777" w:rsidR="00784CED" w:rsidRPr="0059494B" w:rsidRDefault="00784CED" w:rsidP="00076D70">
            <w:pPr>
              <w:pStyle w:val="TableParagraph"/>
              <w:ind w:right="135"/>
              <w:jc w:val="center"/>
              <w:rPr>
                <w:rFonts w:asciiTheme="majorHAnsi" w:hAnsiTheme="majorHAnsi" w:cstheme="majorHAnsi"/>
              </w:rPr>
            </w:pPr>
            <w:r w:rsidRPr="0059494B">
              <w:rPr>
                <w:rFonts w:asciiTheme="majorHAnsi" w:hAnsiTheme="majorHAnsi" w:cstheme="majorHAnsi"/>
              </w:rPr>
              <w:t>S/ 320.00</w:t>
            </w:r>
          </w:p>
        </w:tc>
      </w:tr>
    </w:tbl>
    <w:p w14:paraId="55675B03" w14:textId="77777777" w:rsidR="00784CED" w:rsidRPr="0059494B" w:rsidRDefault="00784CED" w:rsidP="00784CED">
      <w:pPr>
        <w:ind w:right="273"/>
        <w:rPr>
          <w:rFonts w:asciiTheme="majorHAnsi" w:hAnsiTheme="majorHAnsi" w:cstheme="majorHAnsi"/>
          <w:sz w:val="22"/>
          <w:szCs w:val="22"/>
        </w:rPr>
      </w:pPr>
      <w:r w:rsidRPr="0059494B">
        <w:rPr>
          <w:rFonts w:asciiTheme="majorHAnsi" w:hAnsiTheme="majorHAnsi" w:cstheme="majorHAnsi"/>
          <w:sz w:val="22"/>
          <w:szCs w:val="22"/>
        </w:rPr>
        <w:t xml:space="preserve">D.S. </w:t>
      </w:r>
      <w:proofErr w:type="spellStart"/>
      <w:r w:rsidRPr="0059494B">
        <w:rPr>
          <w:rFonts w:asciiTheme="majorHAnsi" w:hAnsiTheme="majorHAnsi" w:cstheme="majorHAnsi"/>
          <w:sz w:val="22"/>
          <w:szCs w:val="22"/>
        </w:rPr>
        <w:t>N°</w:t>
      </w:r>
      <w:proofErr w:type="spellEnd"/>
      <w:r w:rsidRPr="0059494B">
        <w:rPr>
          <w:rFonts w:asciiTheme="majorHAnsi" w:hAnsiTheme="majorHAnsi" w:cstheme="majorHAnsi"/>
          <w:sz w:val="22"/>
          <w:szCs w:val="22"/>
        </w:rPr>
        <w:t xml:space="preserve"> 007-2013-EF (23.01.13) </w:t>
      </w:r>
    </w:p>
    <w:p w14:paraId="791B76AD" w14:textId="77777777" w:rsidR="00784CED" w:rsidRPr="0059494B" w:rsidRDefault="00784CED" w:rsidP="00784CED">
      <w:pPr>
        <w:pStyle w:val="Prrafodelista"/>
        <w:ind w:left="1701" w:right="273"/>
        <w:rPr>
          <w:rFonts w:asciiTheme="majorHAnsi" w:hAnsiTheme="majorHAnsi" w:cstheme="majorHAnsi"/>
          <w:sz w:val="22"/>
          <w:szCs w:val="22"/>
        </w:rPr>
      </w:pPr>
    </w:p>
    <w:p w14:paraId="2DA4BCF7" w14:textId="77777777" w:rsidR="00784CED" w:rsidRPr="0059494B" w:rsidRDefault="00784CED" w:rsidP="00784CED">
      <w:pPr>
        <w:ind w:right="273"/>
        <w:rPr>
          <w:rFonts w:asciiTheme="majorHAnsi" w:hAnsiTheme="majorHAnsi" w:cstheme="majorHAnsi"/>
          <w:sz w:val="22"/>
          <w:szCs w:val="22"/>
        </w:rPr>
      </w:pPr>
      <w:r w:rsidRPr="0059494B">
        <w:rPr>
          <w:rFonts w:asciiTheme="majorHAnsi" w:hAnsiTheme="majorHAnsi" w:cstheme="majorHAnsi"/>
          <w:sz w:val="22"/>
          <w:szCs w:val="22"/>
        </w:rPr>
        <w:t>Escala de viáticos internacionales permitida (alimentación, hospedaje y movilidad local):</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09"/>
      </w:tblGrid>
      <w:tr w:rsidR="00784CED" w:rsidRPr="0059494B" w14:paraId="72F9DE9F" w14:textId="77777777" w:rsidTr="00076D70">
        <w:trPr>
          <w:trHeight w:val="54"/>
        </w:trPr>
        <w:tc>
          <w:tcPr>
            <w:tcW w:w="6096" w:type="dxa"/>
            <w:shd w:val="clear" w:color="auto" w:fill="F2F2F2" w:themeFill="background1" w:themeFillShade="F2"/>
          </w:tcPr>
          <w:p w14:paraId="23F21BC9" w14:textId="77777777" w:rsidR="00784CED" w:rsidRPr="0059494B" w:rsidRDefault="00784CED" w:rsidP="00076D70">
            <w:pPr>
              <w:pStyle w:val="TableParagraph"/>
              <w:ind w:left="142" w:right="1785"/>
              <w:rPr>
                <w:rFonts w:asciiTheme="majorHAnsi" w:hAnsiTheme="majorHAnsi" w:cstheme="majorHAnsi"/>
                <w:b/>
                <w:lang w:eastAsia="es-PE"/>
              </w:rPr>
            </w:pPr>
            <w:r w:rsidRPr="0059494B">
              <w:rPr>
                <w:rFonts w:asciiTheme="majorHAnsi" w:hAnsiTheme="majorHAnsi" w:cstheme="majorHAnsi"/>
                <w:b/>
                <w:lang w:eastAsia="es-PE"/>
              </w:rPr>
              <w:t>Zonas Geográficas</w:t>
            </w:r>
          </w:p>
        </w:tc>
        <w:tc>
          <w:tcPr>
            <w:tcW w:w="2409" w:type="dxa"/>
            <w:shd w:val="clear" w:color="auto" w:fill="F2F2F2" w:themeFill="background1" w:themeFillShade="F2"/>
          </w:tcPr>
          <w:p w14:paraId="1A20AF82" w14:textId="77777777" w:rsidR="00784CED" w:rsidRPr="0059494B" w:rsidRDefault="00784CED" w:rsidP="00076D70">
            <w:pPr>
              <w:pStyle w:val="TableParagraph"/>
              <w:jc w:val="center"/>
              <w:rPr>
                <w:rFonts w:asciiTheme="majorHAnsi" w:hAnsiTheme="majorHAnsi" w:cstheme="majorHAnsi"/>
                <w:b/>
                <w:w w:val="80"/>
              </w:rPr>
            </w:pPr>
            <w:r w:rsidRPr="0059494B">
              <w:rPr>
                <w:rFonts w:asciiTheme="majorHAnsi" w:hAnsiTheme="majorHAnsi" w:cstheme="majorHAnsi"/>
                <w:b/>
                <w:lang w:eastAsia="es-PE"/>
              </w:rPr>
              <w:t>Asignación Diaria (USD)</w:t>
            </w:r>
          </w:p>
        </w:tc>
      </w:tr>
      <w:tr w:rsidR="00784CED" w:rsidRPr="0059494B" w14:paraId="44CF9275" w14:textId="77777777" w:rsidTr="00076D70">
        <w:trPr>
          <w:trHeight w:val="54"/>
        </w:trPr>
        <w:tc>
          <w:tcPr>
            <w:tcW w:w="6096" w:type="dxa"/>
            <w:shd w:val="clear" w:color="auto" w:fill="auto"/>
          </w:tcPr>
          <w:p w14:paraId="76DE7624"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África</w:t>
            </w:r>
          </w:p>
        </w:tc>
        <w:tc>
          <w:tcPr>
            <w:tcW w:w="2409" w:type="dxa"/>
            <w:shd w:val="clear" w:color="auto" w:fill="auto"/>
          </w:tcPr>
          <w:p w14:paraId="4F6730FF"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480.00</w:t>
            </w:r>
          </w:p>
        </w:tc>
      </w:tr>
      <w:tr w:rsidR="00784CED" w:rsidRPr="0059494B" w14:paraId="7EB33EA5" w14:textId="77777777" w:rsidTr="00076D70">
        <w:trPr>
          <w:trHeight w:val="54"/>
        </w:trPr>
        <w:tc>
          <w:tcPr>
            <w:tcW w:w="6096" w:type="dxa"/>
            <w:shd w:val="clear" w:color="auto" w:fill="auto"/>
          </w:tcPr>
          <w:p w14:paraId="6A327AF4"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América Central</w:t>
            </w:r>
          </w:p>
        </w:tc>
        <w:tc>
          <w:tcPr>
            <w:tcW w:w="2409" w:type="dxa"/>
            <w:shd w:val="clear" w:color="auto" w:fill="auto"/>
          </w:tcPr>
          <w:p w14:paraId="2DA3C46C"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315.00</w:t>
            </w:r>
          </w:p>
        </w:tc>
      </w:tr>
      <w:tr w:rsidR="00784CED" w:rsidRPr="0059494B" w14:paraId="5752B919" w14:textId="77777777" w:rsidTr="00076D70">
        <w:trPr>
          <w:trHeight w:val="54"/>
        </w:trPr>
        <w:tc>
          <w:tcPr>
            <w:tcW w:w="6096" w:type="dxa"/>
            <w:shd w:val="clear" w:color="auto" w:fill="auto"/>
          </w:tcPr>
          <w:p w14:paraId="3D7730DC"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América del Norte</w:t>
            </w:r>
          </w:p>
        </w:tc>
        <w:tc>
          <w:tcPr>
            <w:tcW w:w="2409" w:type="dxa"/>
            <w:shd w:val="clear" w:color="auto" w:fill="auto"/>
          </w:tcPr>
          <w:p w14:paraId="209A3793"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440.00</w:t>
            </w:r>
          </w:p>
        </w:tc>
      </w:tr>
      <w:tr w:rsidR="00784CED" w:rsidRPr="0059494B" w14:paraId="2B2709B7" w14:textId="77777777" w:rsidTr="00076D70">
        <w:trPr>
          <w:trHeight w:val="54"/>
        </w:trPr>
        <w:tc>
          <w:tcPr>
            <w:tcW w:w="6096" w:type="dxa"/>
            <w:shd w:val="clear" w:color="auto" w:fill="auto"/>
          </w:tcPr>
          <w:p w14:paraId="1B93E4DA"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América del Sur</w:t>
            </w:r>
          </w:p>
        </w:tc>
        <w:tc>
          <w:tcPr>
            <w:tcW w:w="2409" w:type="dxa"/>
            <w:shd w:val="clear" w:color="auto" w:fill="auto"/>
          </w:tcPr>
          <w:p w14:paraId="13BF40D6"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370.00</w:t>
            </w:r>
          </w:p>
        </w:tc>
      </w:tr>
      <w:tr w:rsidR="00784CED" w:rsidRPr="0059494B" w14:paraId="5D0EE1DC" w14:textId="77777777" w:rsidTr="00076D70">
        <w:trPr>
          <w:trHeight w:val="54"/>
        </w:trPr>
        <w:tc>
          <w:tcPr>
            <w:tcW w:w="6096" w:type="dxa"/>
            <w:shd w:val="clear" w:color="auto" w:fill="auto"/>
          </w:tcPr>
          <w:p w14:paraId="13AC7F42"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Asia</w:t>
            </w:r>
          </w:p>
        </w:tc>
        <w:tc>
          <w:tcPr>
            <w:tcW w:w="2409" w:type="dxa"/>
            <w:shd w:val="clear" w:color="auto" w:fill="auto"/>
          </w:tcPr>
          <w:p w14:paraId="5B9ACF48"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500.00</w:t>
            </w:r>
          </w:p>
        </w:tc>
      </w:tr>
      <w:tr w:rsidR="00784CED" w:rsidRPr="0059494B" w14:paraId="45D513FB" w14:textId="77777777" w:rsidTr="00076D70">
        <w:trPr>
          <w:trHeight w:val="54"/>
        </w:trPr>
        <w:tc>
          <w:tcPr>
            <w:tcW w:w="6096" w:type="dxa"/>
            <w:shd w:val="clear" w:color="auto" w:fill="auto"/>
          </w:tcPr>
          <w:p w14:paraId="1EFB938F"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Medio Oriente</w:t>
            </w:r>
          </w:p>
        </w:tc>
        <w:tc>
          <w:tcPr>
            <w:tcW w:w="2409" w:type="dxa"/>
            <w:shd w:val="clear" w:color="auto" w:fill="auto"/>
          </w:tcPr>
          <w:p w14:paraId="3458983C"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510.00</w:t>
            </w:r>
          </w:p>
        </w:tc>
      </w:tr>
      <w:tr w:rsidR="00784CED" w:rsidRPr="0059494B" w14:paraId="6E310D8B" w14:textId="77777777" w:rsidTr="00076D70">
        <w:trPr>
          <w:trHeight w:val="54"/>
        </w:trPr>
        <w:tc>
          <w:tcPr>
            <w:tcW w:w="6096" w:type="dxa"/>
            <w:shd w:val="clear" w:color="auto" w:fill="auto"/>
          </w:tcPr>
          <w:p w14:paraId="1A6C6A63"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Caribe</w:t>
            </w:r>
          </w:p>
        </w:tc>
        <w:tc>
          <w:tcPr>
            <w:tcW w:w="2409" w:type="dxa"/>
            <w:shd w:val="clear" w:color="auto" w:fill="auto"/>
          </w:tcPr>
          <w:p w14:paraId="4C3A2883"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430.00</w:t>
            </w:r>
          </w:p>
        </w:tc>
      </w:tr>
      <w:tr w:rsidR="00784CED" w:rsidRPr="0059494B" w14:paraId="00BB6812" w14:textId="77777777" w:rsidTr="00076D70">
        <w:trPr>
          <w:trHeight w:val="54"/>
        </w:trPr>
        <w:tc>
          <w:tcPr>
            <w:tcW w:w="6096" w:type="dxa"/>
            <w:shd w:val="clear" w:color="auto" w:fill="auto"/>
          </w:tcPr>
          <w:p w14:paraId="6AE1732C"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Europa</w:t>
            </w:r>
          </w:p>
        </w:tc>
        <w:tc>
          <w:tcPr>
            <w:tcW w:w="2409" w:type="dxa"/>
            <w:shd w:val="clear" w:color="auto" w:fill="auto"/>
          </w:tcPr>
          <w:p w14:paraId="660C4B8E"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540.00</w:t>
            </w:r>
          </w:p>
        </w:tc>
      </w:tr>
      <w:tr w:rsidR="00784CED" w:rsidRPr="0059494B" w14:paraId="236A45EA" w14:textId="77777777" w:rsidTr="00076D70">
        <w:trPr>
          <w:trHeight w:val="54"/>
        </w:trPr>
        <w:tc>
          <w:tcPr>
            <w:tcW w:w="6096" w:type="dxa"/>
            <w:shd w:val="clear" w:color="auto" w:fill="auto"/>
          </w:tcPr>
          <w:p w14:paraId="30943A14" w14:textId="77777777" w:rsidR="00784CED" w:rsidRPr="0059494B" w:rsidRDefault="00784CED" w:rsidP="00076D70">
            <w:pPr>
              <w:pStyle w:val="TableParagraph"/>
              <w:ind w:left="115"/>
              <w:rPr>
                <w:rFonts w:asciiTheme="majorHAnsi" w:hAnsiTheme="majorHAnsi" w:cstheme="majorHAnsi"/>
              </w:rPr>
            </w:pPr>
            <w:r w:rsidRPr="0059494B">
              <w:rPr>
                <w:rFonts w:asciiTheme="majorHAnsi" w:hAnsiTheme="majorHAnsi" w:cstheme="majorHAnsi"/>
              </w:rPr>
              <w:t>Oceanía</w:t>
            </w:r>
          </w:p>
        </w:tc>
        <w:tc>
          <w:tcPr>
            <w:tcW w:w="2409" w:type="dxa"/>
            <w:shd w:val="clear" w:color="auto" w:fill="auto"/>
          </w:tcPr>
          <w:p w14:paraId="4184EC4E" w14:textId="77777777" w:rsidR="00784CED" w:rsidRPr="0059494B" w:rsidRDefault="00784CED" w:rsidP="00076D70">
            <w:pPr>
              <w:pStyle w:val="TableParagraph"/>
              <w:jc w:val="center"/>
              <w:rPr>
                <w:rFonts w:asciiTheme="majorHAnsi" w:hAnsiTheme="majorHAnsi" w:cstheme="majorHAnsi"/>
              </w:rPr>
            </w:pPr>
            <w:r w:rsidRPr="0059494B">
              <w:rPr>
                <w:rFonts w:asciiTheme="majorHAnsi" w:hAnsiTheme="majorHAnsi" w:cstheme="majorHAnsi"/>
              </w:rPr>
              <w:t>385.00</w:t>
            </w:r>
          </w:p>
        </w:tc>
      </w:tr>
    </w:tbl>
    <w:p w14:paraId="3F08EE6F" w14:textId="77777777" w:rsidR="00784CED" w:rsidRPr="0059494B" w:rsidRDefault="00784CED" w:rsidP="00784CED">
      <w:pPr>
        <w:ind w:right="273"/>
        <w:rPr>
          <w:rFonts w:asciiTheme="majorHAnsi" w:hAnsiTheme="majorHAnsi" w:cstheme="majorHAnsi"/>
          <w:sz w:val="22"/>
          <w:szCs w:val="22"/>
        </w:rPr>
      </w:pPr>
      <w:r w:rsidRPr="0059494B">
        <w:rPr>
          <w:rFonts w:asciiTheme="majorHAnsi" w:hAnsiTheme="majorHAnsi" w:cstheme="majorHAnsi"/>
          <w:sz w:val="22"/>
          <w:szCs w:val="22"/>
        </w:rPr>
        <w:t xml:space="preserve">D.S. </w:t>
      </w:r>
      <w:proofErr w:type="spellStart"/>
      <w:r w:rsidRPr="0059494B">
        <w:rPr>
          <w:rFonts w:asciiTheme="majorHAnsi" w:hAnsiTheme="majorHAnsi" w:cstheme="majorHAnsi"/>
          <w:sz w:val="22"/>
          <w:szCs w:val="22"/>
        </w:rPr>
        <w:t>N°</w:t>
      </w:r>
      <w:proofErr w:type="spellEnd"/>
      <w:r w:rsidRPr="0059494B">
        <w:rPr>
          <w:rFonts w:asciiTheme="majorHAnsi" w:hAnsiTheme="majorHAnsi" w:cstheme="majorHAnsi"/>
          <w:sz w:val="22"/>
          <w:szCs w:val="22"/>
        </w:rPr>
        <w:t xml:space="preserve"> 056-2013-PCM (19.05.13)</w:t>
      </w:r>
    </w:p>
    <w:p w14:paraId="54AFFCA7" w14:textId="77777777" w:rsidR="00784CED" w:rsidRPr="0059494B" w:rsidRDefault="00784CED" w:rsidP="00784CED">
      <w:pPr>
        <w:jc w:val="both"/>
        <w:rPr>
          <w:rFonts w:asciiTheme="majorHAnsi" w:eastAsia="Calibri" w:hAnsiTheme="majorHAnsi" w:cstheme="majorHAnsi"/>
          <w:sz w:val="22"/>
          <w:szCs w:val="22"/>
        </w:rPr>
      </w:pPr>
    </w:p>
    <w:p w14:paraId="7E7C74D2" w14:textId="77777777" w:rsidR="00784CED" w:rsidRPr="0059494B" w:rsidRDefault="00784CED" w:rsidP="00784CED">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59494B">
        <w:rPr>
          <w:rFonts w:asciiTheme="majorHAnsi" w:eastAsia="Calibri" w:hAnsiTheme="majorHAnsi" w:cstheme="majorHAnsi"/>
          <w:b/>
          <w:sz w:val="22"/>
          <w:szCs w:val="22"/>
        </w:rPr>
        <w:t>GASTOS NO ELEGIBLES</w:t>
      </w:r>
    </w:p>
    <w:p w14:paraId="079A9A8C" w14:textId="77777777" w:rsidR="00784CED" w:rsidRPr="0059494B" w:rsidRDefault="00784CED" w:rsidP="00784CED">
      <w:pPr>
        <w:pBdr>
          <w:top w:val="nil"/>
          <w:left w:val="nil"/>
          <w:bottom w:val="nil"/>
          <w:right w:val="nil"/>
          <w:between w:val="nil"/>
        </w:pBdr>
        <w:ind w:left="426"/>
        <w:jc w:val="both"/>
        <w:rPr>
          <w:rFonts w:asciiTheme="majorHAnsi" w:eastAsia="Calibri" w:hAnsiTheme="majorHAnsi" w:cstheme="majorHAnsi"/>
          <w:sz w:val="22"/>
          <w:szCs w:val="22"/>
        </w:rPr>
      </w:pPr>
    </w:p>
    <w:p w14:paraId="5127A2E2" w14:textId="77777777" w:rsidR="00784CED" w:rsidRPr="0059494B" w:rsidRDefault="00784CED" w:rsidP="00784CED">
      <w:pPr>
        <w:widowControl w:val="0"/>
        <w:tabs>
          <w:tab w:val="left" w:pos="222"/>
        </w:tabs>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Son </w:t>
      </w:r>
      <w:r w:rsidRPr="0059494B">
        <w:rPr>
          <w:rFonts w:asciiTheme="majorHAnsi" w:eastAsia="Calibri" w:hAnsiTheme="majorHAnsi" w:cstheme="majorHAnsi"/>
          <w:b/>
          <w:bCs/>
          <w:sz w:val="22"/>
          <w:szCs w:val="22"/>
        </w:rPr>
        <w:t>gastos no elegibles</w:t>
      </w:r>
      <w:r w:rsidRPr="0059494B">
        <w:rPr>
          <w:rFonts w:asciiTheme="majorHAnsi" w:eastAsia="Calibri" w:hAnsiTheme="majorHAnsi" w:cstheme="majorHAnsi"/>
          <w:sz w:val="22"/>
          <w:szCs w:val="22"/>
        </w:rPr>
        <w:t xml:space="preserve"> los siguientes:</w:t>
      </w:r>
    </w:p>
    <w:p w14:paraId="78A09084" w14:textId="77777777" w:rsidR="00784CED" w:rsidRPr="0059494B" w:rsidRDefault="00784CED" w:rsidP="00784CED">
      <w:pPr>
        <w:widowControl w:val="0"/>
        <w:tabs>
          <w:tab w:val="left" w:pos="222"/>
        </w:tabs>
        <w:jc w:val="both"/>
        <w:rPr>
          <w:rFonts w:asciiTheme="majorHAnsi" w:eastAsia="Calibri" w:hAnsiTheme="majorHAnsi" w:cstheme="majorHAnsi"/>
          <w:sz w:val="22"/>
          <w:szCs w:val="22"/>
        </w:rPr>
      </w:pPr>
    </w:p>
    <w:p w14:paraId="42D4FEAE"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Gastos por personal administrativo. Gastos administrativos en general.</w:t>
      </w:r>
    </w:p>
    <w:p w14:paraId="003B3441"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Gastos fijos (luz, agua, telefonía fija y celular, internet).</w:t>
      </w:r>
    </w:p>
    <w:p w14:paraId="7A504952"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Gastos financieros (mantenimiento de cuenta corriente y otros gastos financieros).</w:t>
      </w:r>
    </w:p>
    <w:p w14:paraId="7519D954"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Adquisición y/o alquiler de equipos, bienes duraderos e insumos no vinculados con la naturaleza y ejecución del proyecto.</w:t>
      </w:r>
    </w:p>
    <w:p w14:paraId="7BB3748E"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Adquisición y/o alquiler de inmuebles y vehículos.</w:t>
      </w:r>
    </w:p>
    <w:p w14:paraId="2E8B7455"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Adquisición de bienes usados.</w:t>
      </w:r>
    </w:p>
    <w:p w14:paraId="36FAA763"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Financiamiento de deuda.</w:t>
      </w:r>
    </w:p>
    <w:p w14:paraId="48F457E2"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Compra de acciones.</w:t>
      </w:r>
    </w:p>
    <w:p w14:paraId="60DC478D"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Tecnologías y equipamiento que tengan impacto negativo en el medio ambiente.</w:t>
      </w:r>
    </w:p>
    <w:p w14:paraId="7DB1CCE0"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Obras de infraestructura no asociadas al proyecto y compra de terrenos.</w:t>
      </w:r>
    </w:p>
    <w:p w14:paraId="290DB9B8"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Arrendamiento de locales para oficinas administrativas y alquiler de equipos de oficina.</w:t>
      </w:r>
    </w:p>
    <w:p w14:paraId="0E9A8391"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Iniciativas relacionadas con armas, juegos de azar, actividades ilegales, prohibidas o innecesarias para el logro de los resultados del proyecto.</w:t>
      </w:r>
    </w:p>
    <w:p w14:paraId="58B5FC3C" w14:textId="77777777" w:rsidR="00784CED" w:rsidRPr="0059494B" w:rsidRDefault="00784CED" w:rsidP="00784CED">
      <w:pPr>
        <w:widowControl w:val="0"/>
        <w:numPr>
          <w:ilvl w:val="1"/>
          <w:numId w:val="7"/>
        </w:numPr>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Las adquisiciones de bienes, servicios o consultorías en los cuales los miembros del Equipo Emprendedor sean accionistas o Gerentes.</w:t>
      </w:r>
    </w:p>
    <w:p w14:paraId="589A6A3A" w14:textId="77777777" w:rsidR="00784CED" w:rsidRPr="0059494B" w:rsidRDefault="00784CED" w:rsidP="00784CED">
      <w:pPr>
        <w:widowControl w:val="0"/>
        <w:numPr>
          <w:ilvl w:val="1"/>
          <w:numId w:val="7"/>
        </w:numPr>
        <w:tabs>
          <w:tab w:val="left" w:pos="222"/>
        </w:tabs>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 xml:space="preserve">Gastos de transporte local y peajes, como servicios de taxi o </w:t>
      </w:r>
      <w:proofErr w:type="spellStart"/>
      <w:r w:rsidRPr="0059494B">
        <w:rPr>
          <w:rFonts w:asciiTheme="majorHAnsi" w:eastAsia="Calibri" w:hAnsiTheme="majorHAnsi" w:cstheme="majorHAnsi"/>
          <w:sz w:val="22"/>
          <w:szCs w:val="22"/>
        </w:rPr>
        <w:t>delivery</w:t>
      </w:r>
      <w:proofErr w:type="spellEnd"/>
      <w:r w:rsidRPr="0059494B">
        <w:rPr>
          <w:rFonts w:asciiTheme="majorHAnsi" w:eastAsia="Calibri" w:hAnsiTheme="majorHAnsi" w:cstheme="majorHAnsi"/>
          <w:sz w:val="22"/>
          <w:szCs w:val="22"/>
        </w:rPr>
        <w:t xml:space="preserve">. </w:t>
      </w:r>
    </w:p>
    <w:p w14:paraId="36EA2A82" w14:textId="77777777" w:rsidR="00784CED" w:rsidRPr="0059494B" w:rsidRDefault="00784CED" w:rsidP="00784CED">
      <w:pPr>
        <w:widowControl w:val="0"/>
        <w:numPr>
          <w:ilvl w:val="1"/>
          <w:numId w:val="7"/>
        </w:numPr>
        <w:tabs>
          <w:tab w:val="left" w:pos="222"/>
        </w:tabs>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Seguros de cualquier tipo.</w:t>
      </w:r>
    </w:p>
    <w:p w14:paraId="506D853B" w14:textId="77777777" w:rsidR="00784CED" w:rsidRPr="0059494B" w:rsidRDefault="00784CED" w:rsidP="00784CED">
      <w:pPr>
        <w:widowControl w:val="0"/>
        <w:numPr>
          <w:ilvl w:val="1"/>
          <w:numId w:val="7"/>
        </w:numPr>
        <w:tabs>
          <w:tab w:val="left" w:pos="222"/>
        </w:tabs>
        <w:ind w:left="709"/>
        <w:jc w:val="both"/>
        <w:rPr>
          <w:rFonts w:asciiTheme="majorHAnsi" w:hAnsiTheme="majorHAnsi" w:cstheme="majorHAnsi"/>
          <w:sz w:val="22"/>
          <w:szCs w:val="22"/>
        </w:rPr>
      </w:pPr>
      <w:r w:rsidRPr="0059494B">
        <w:rPr>
          <w:rFonts w:asciiTheme="majorHAnsi" w:eastAsia="Calibri" w:hAnsiTheme="majorHAnsi" w:cstheme="majorHAnsi"/>
          <w:sz w:val="22"/>
          <w:szCs w:val="22"/>
        </w:rPr>
        <w:t>Ningún tipo de impuesto a la renta, lo asume la Entidad ejecutora fuera del proyecto.</w:t>
      </w:r>
      <w:r w:rsidRPr="0059494B">
        <w:rPr>
          <w:rFonts w:asciiTheme="majorHAnsi" w:hAnsiTheme="majorHAnsi" w:cstheme="majorHAnsi"/>
          <w:sz w:val="22"/>
          <w:szCs w:val="22"/>
        </w:rPr>
        <w:br w:type="page"/>
      </w:r>
    </w:p>
    <w:p w14:paraId="149D17A1" w14:textId="77777777" w:rsidR="00784CED" w:rsidRPr="00784CED" w:rsidRDefault="00784CED" w:rsidP="00784CED">
      <w:pPr>
        <w:pStyle w:val="Ttulo1"/>
        <w:spacing w:before="0" w:after="0"/>
        <w:jc w:val="center"/>
        <w:rPr>
          <w:rStyle w:val="Ttulodellibro"/>
          <w:rFonts w:asciiTheme="majorHAnsi" w:eastAsia="Calibri" w:hAnsiTheme="majorHAnsi" w:cstheme="majorHAnsi"/>
          <w:b/>
          <w:bCs w:val="0"/>
          <w:i w:val="0"/>
          <w:iCs w:val="0"/>
          <w:sz w:val="22"/>
          <w:szCs w:val="22"/>
        </w:rPr>
      </w:pPr>
      <w:bookmarkStart w:id="7" w:name="_Anexo_3:_Directrices"/>
      <w:bookmarkStart w:id="8" w:name="_Toc144981558"/>
      <w:bookmarkEnd w:id="7"/>
      <w:r w:rsidRPr="00784CED">
        <w:rPr>
          <w:rStyle w:val="Ttulodellibro"/>
          <w:rFonts w:asciiTheme="majorHAnsi" w:eastAsia="Calibri" w:hAnsiTheme="majorHAnsi" w:cstheme="majorHAnsi"/>
          <w:b/>
          <w:bCs w:val="0"/>
          <w:i w:val="0"/>
          <w:iCs w:val="0"/>
          <w:sz w:val="22"/>
          <w:szCs w:val="22"/>
        </w:rPr>
        <w:lastRenderedPageBreak/>
        <w:t>Anexo 4: Directrices para la firma del contrato de adjudicación de RNR</w:t>
      </w:r>
      <w:bookmarkEnd w:id="8"/>
    </w:p>
    <w:p w14:paraId="69A0443E" w14:textId="77777777" w:rsidR="00784CED" w:rsidRPr="0059494B" w:rsidRDefault="00784CED" w:rsidP="00784CED">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4466E6AC"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b/>
          <w:bCs/>
          <w:sz w:val="22"/>
          <w:szCs w:val="22"/>
        </w:rPr>
        <w:t>Asignación de Incubadora o Aceleradora para el acompañamiento del proyecto</w:t>
      </w:r>
      <w:r w:rsidRPr="0059494B">
        <w:rPr>
          <w:rFonts w:asciiTheme="majorHAnsi" w:eastAsia="Calibri" w:hAnsiTheme="majorHAnsi" w:cstheme="majorHAnsi"/>
          <w:sz w:val="22"/>
          <w:szCs w:val="22"/>
        </w:rPr>
        <w:t>: Antes de firmar el contrato, los Equipos Emprendedores que hayan postulado sin el respaldo de una Incubadora o Aceleradora serán asignados por mutuo acuerdo a una Incubadora o Aceleradora financiada por ProInnóvate que brindará al proyecto servicios administrativos y servicios de incubación y/o aceleración según el convenio firmado entre ProInnóvate y la Incubadora/aceleradora. Ningún Equipo Emprendedor recibirá financiamiento si no cuenta con una Incubadora o Aceleradora, o si no acepta las condiciones de financiamiento establecidas en las presentes Bases y en el Manual Operativo de Proyecto. En caso el equipo postule respaldado por una incubadora o aceleradora financiada por ProInnóvate, será esa incubadora o aceleradora quien realizará el acompañamiento del proyecto.</w:t>
      </w:r>
    </w:p>
    <w:p w14:paraId="3AAC40C2" w14:textId="77777777" w:rsidR="00784CED" w:rsidRPr="0059494B" w:rsidRDefault="00784CED" w:rsidP="00784CED">
      <w:pPr>
        <w:widowControl w:val="0"/>
        <w:pBdr>
          <w:top w:val="nil"/>
          <w:left w:val="nil"/>
          <w:bottom w:val="nil"/>
          <w:right w:val="nil"/>
          <w:between w:val="nil"/>
        </w:pBdr>
        <w:jc w:val="both"/>
        <w:rPr>
          <w:rFonts w:asciiTheme="majorHAnsi" w:eastAsia="Calibri" w:hAnsiTheme="majorHAnsi" w:cstheme="majorHAnsi"/>
          <w:sz w:val="22"/>
          <w:szCs w:val="22"/>
        </w:rPr>
      </w:pPr>
    </w:p>
    <w:p w14:paraId="7D3D1802"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ProInnóvate suscribirá un Contrato de Adjudicación de Recursos No Reembolsables (RNR) con el equipo emprendedor o con la persona jurídica beneficiaria, en el que se establecerán las obligaciones de ambas partes y las condiciones de ejecución de los RNR de acuerdo a lo establecido en el Plan de Trabajo. El modelo de contrato se entregará al equipo en caso se apruebe su proyecto y se le asigne financiamiento.</w:t>
      </w:r>
    </w:p>
    <w:p w14:paraId="2BCEF426" w14:textId="77777777" w:rsidR="00784CED" w:rsidRPr="0059494B" w:rsidRDefault="00784CED" w:rsidP="00784CED">
      <w:pPr>
        <w:pStyle w:val="Prrafodelista"/>
        <w:rPr>
          <w:rFonts w:asciiTheme="majorHAnsi" w:eastAsia="Calibri" w:hAnsiTheme="majorHAnsi" w:cstheme="majorHAnsi"/>
          <w:sz w:val="22"/>
          <w:szCs w:val="22"/>
        </w:rPr>
      </w:pPr>
    </w:p>
    <w:p w14:paraId="3D790D2D"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ProInnóvate dejará sin efecto la adjudicación en caso el equipo emprendedor o la persona jurídica beneficiaria registre otro Convenio de Adjudicación de RNR en ejecución con ProInnóvate, de acuerdo con lo indicado en el numeral 13 de las bases.</w:t>
      </w:r>
    </w:p>
    <w:p w14:paraId="67FB5A1A" w14:textId="77777777" w:rsidR="00784CED" w:rsidRPr="0059494B" w:rsidRDefault="00784CED" w:rsidP="00784CED">
      <w:pPr>
        <w:widowControl w:val="0"/>
        <w:pBdr>
          <w:top w:val="nil"/>
          <w:left w:val="nil"/>
          <w:bottom w:val="nil"/>
          <w:right w:val="nil"/>
          <w:between w:val="nil"/>
        </w:pBdr>
        <w:jc w:val="both"/>
        <w:rPr>
          <w:rFonts w:asciiTheme="majorHAnsi" w:eastAsia="Calibri" w:hAnsiTheme="majorHAnsi" w:cstheme="majorHAnsi"/>
          <w:sz w:val="22"/>
          <w:szCs w:val="22"/>
        </w:rPr>
      </w:pPr>
    </w:p>
    <w:p w14:paraId="30BC80B9"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b/>
          <w:bCs/>
          <w:sz w:val="22"/>
          <w:szCs w:val="22"/>
        </w:rPr>
        <w:t>Reunión previa:</w:t>
      </w:r>
      <w:r w:rsidRPr="0059494B">
        <w:rPr>
          <w:rFonts w:asciiTheme="majorHAnsi" w:eastAsia="Calibri" w:hAnsiTheme="majorHAnsi" w:cstheme="majorHAnsi"/>
          <w:sz w:val="22"/>
          <w:szCs w:val="22"/>
        </w:rPr>
        <w:t xml:space="preserve"> Antes de firmar el contrato, el Equipo Emprendedor y el Ejecutivo de Proyecto asignado por ProInnóvate deberán realizar los ajustes necesarios a la propuesta, estableciendo el Plan de Trabajo con hitos y condiciones a cumplir para los desembolsos. La reunión previa tiene carácter de obligatoria para dar inicio al proyecto, ya que deberá realizarse indefectiblemente para que el Equipo Emprendedor pueda recibir el desembolso del fondo.</w:t>
      </w:r>
    </w:p>
    <w:p w14:paraId="4AA2F48D" w14:textId="77777777" w:rsidR="00784CED" w:rsidRPr="0059494B" w:rsidRDefault="00784CED" w:rsidP="00784CED">
      <w:pPr>
        <w:widowControl w:val="0"/>
        <w:jc w:val="both"/>
        <w:rPr>
          <w:rFonts w:asciiTheme="majorHAnsi" w:eastAsia="Calibri" w:hAnsiTheme="majorHAnsi" w:cstheme="majorHAnsi"/>
          <w:sz w:val="22"/>
          <w:szCs w:val="22"/>
        </w:rPr>
      </w:pPr>
    </w:p>
    <w:p w14:paraId="688C99AA" w14:textId="77777777" w:rsidR="00784CED" w:rsidRPr="0059494B" w:rsidRDefault="00784CED" w:rsidP="00784CED">
      <w:pPr>
        <w:widowControl w:val="0"/>
        <w:numPr>
          <w:ilvl w:val="0"/>
          <w:numId w:val="9"/>
        </w:numP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En el marco de las bases del concurso, el Ejecutivo de Proyectos de ProInnóvate podrá revisar aspectos técnicos y/o financieros del proyecto y proponer mejoras al mismo durante la Reunión Previa. Para los casos que el Ejecutivo identifique cambios en el objetivo general del proyecto y/o variaciones en los Recursos No Reembolsable (RNR) superiores al 5%, estos deberán ser derivados por la Unidad de Monitoreo a la Unidad de Evaluación y Selección para que estos últimos lo presenten al Comité Técnico de Evaluación para su aprobación o desaprobación. De ser aprobados se procederá a solicitar la ratificación.</w:t>
      </w:r>
    </w:p>
    <w:p w14:paraId="74F003CB" w14:textId="77777777" w:rsidR="00784CED" w:rsidRPr="0059494B" w:rsidRDefault="00784CED" w:rsidP="00784CED">
      <w:pPr>
        <w:widowControl w:val="0"/>
        <w:jc w:val="both"/>
        <w:rPr>
          <w:rFonts w:asciiTheme="majorHAnsi" w:eastAsia="Calibri" w:hAnsiTheme="majorHAnsi" w:cstheme="majorHAnsi"/>
          <w:sz w:val="22"/>
          <w:szCs w:val="22"/>
        </w:rPr>
      </w:pPr>
    </w:p>
    <w:p w14:paraId="36CE784F" w14:textId="77777777" w:rsidR="00784CED" w:rsidRPr="0059494B" w:rsidRDefault="00784CED" w:rsidP="00784CED">
      <w:pPr>
        <w:widowControl w:val="0"/>
        <w:numPr>
          <w:ilvl w:val="0"/>
          <w:numId w:val="9"/>
        </w:numP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En caso el equipo emprendedor postule como persona natural y, hasta la fecha de la Reunión Previa se constituya como persona jurídica, podrá firmar contrato como persona jurídica siempre y cuando se cumpla con las siguientes condiciones:</w:t>
      </w:r>
    </w:p>
    <w:p w14:paraId="29EA4864" w14:textId="77777777" w:rsidR="00784CED" w:rsidRPr="0059494B" w:rsidRDefault="00784CED" w:rsidP="00784CED">
      <w:pPr>
        <w:widowControl w:val="0"/>
        <w:jc w:val="both"/>
        <w:rPr>
          <w:rFonts w:asciiTheme="majorHAnsi" w:eastAsia="Calibri" w:hAnsiTheme="majorHAnsi" w:cstheme="majorHAnsi"/>
          <w:sz w:val="22"/>
          <w:szCs w:val="22"/>
        </w:rPr>
      </w:pPr>
    </w:p>
    <w:p w14:paraId="1BE7E811" w14:textId="77777777" w:rsidR="00784CED" w:rsidRPr="0059494B" w:rsidRDefault="00784CED" w:rsidP="00784CED">
      <w:pPr>
        <w:pStyle w:val="Prrafodelista"/>
        <w:widowControl w:val="0"/>
        <w:numPr>
          <w:ilvl w:val="0"/>
          <w:numId w:val="1"/>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El Líder Emprendedor es el representante legal.</w:t>
      </w:r>
    </w:p>
    <w:p w14:paraId="2ABE8F72" w14:textId="77777777" w:rsidR="00784CED" w:rsidRPr="0059494B" w:rsidRDefault="00784CED" w:rsidP="00784CED">
      <w:pPr>
        <w:pStyle w:val="Prrafodelista"/>
        <w:widowControl w:val="0"/>
        <w:numPr>
          <w:ilvl w:val="0"/>
          <w:numId w:val="1"/>
        </w:numPr>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Los socios fundadores que sean parte del equipo emprendedor cuenten con al menos 51% de participación en la empresa.</w:t>
      </w:r>
    </w:p>
    <w:p w14:paraId="6B91D5E3" w14:textId="77777777" w:rsidR="00784CED" w:rsidRPr="0059494B" w:rsidRDefault="00784CED" w:rsidP="00784CED">
      <w:pPr>
        <w:widowControl w:val="0"/>
        <w:jc w:val="both"/>
        <w:rPr>
          <w:rFonts w:asciiTheme="majorHAnsi" w:eastAsia="Calibri" w:hAnsiTheme="majorHAnsi" w:cstheme="majorHAnsi"/>
          <w:sz w:val="22"/>
          <w:szCs w:val="22"/>
        </w:rPr>
      </w:pPr>
    </w:p>
    <w:p w14:paraId="54C75E9F"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b/>
          <w:bCs/>
          <w:sz w:val="22"/>
          <w:szCs w:val="22"/>
        </w:rPr>
        <w:t>Documentas para la firma de contrato de adjudicación:</w:t>
      </w:r>
      <w:r w:rsidRPr="0059494B">
        <w:rPr>
          <w:rFonts w:asciiTheme="majorHAnsi" w:eastAsia="Calibri" w:hAnsiTheme="majorHAnsi" w:cstheme="majorHAnsi"/>
          <w:sz w:val="22"/>
          <w:szCs w:val="22"/>
        </w:rPr>
        <w:t xml:space="preserve"> </w:t>
      </w:r>
    </w:p>
    <w:p w14:paraId="7F85EF05" w14:textId="77777777" w:rsidR="00784CED" w:rsidRPr="0059494B" w:rsidRDefault="00784CED" w:rsidP="00784CED">
      <w:pPr>
        <w:widowControl w:val="0"/>
        <w:pBdr>
          <w:top w:val="nil"/>
          <w:left w:val="nil"/>
          <w:bottom w:val="nil"/>
          <w:right w:val="nil"/>
          <w:between w:val="nil"/>
        </w:pBdr>
        <w:jc w:val="both"/>
        <w:rPr>
          <w:rFonts w:asciiTheme="majorHAnsi" w:eastAsia="Calibri" w:hAnsiTheme="majorHAnsi" w:cstheme="majorHAnsi"/>
          <w:sz w:val="22"/>
          <w:szCs w:val="22"/>
        </w:rPr>
      </w:pPr>
    </w:p>
    <w:p w14:paraId="502F9D49" w14:textId="77777777" w:rsidR="00784CED" w:rsidRPr="0059494B" w:rsidRDefault="00784CED" w:rsidP="00784CED">
      <w:pPr>
        <w:widowControl w:val="0"/>
        <w:numPr>
          <w:ilvl w:val="0"/>
          <w:numId w:val="4"/>
        </w:numPr>
        <w:pBdr>
          <w:top w:val="nil"/>
          <w:left w:val="nil"/>
          <w:bottom w:val="nil"/>
          <w:right w:val="nil"/>
          <w:between w:val="nil"/>
        </w:pBdr>
        <w:ind w:left="709" w:hanging="283"/>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Carta con los datos de la cuenta bancaria a nombre de (i) el Líder Emprendedor, en caso haya postulado como persona natural o (</w:t>
      </w:r>
      <w:proofErr w:type="spellStart"/>
      <w:r w:rsidRPr="0059494B">
        <w:rPr>
          <w:rFonts w:asciiTheme="majorHAnsi" w:eastAsia="Calibri" w:hAnsiTheme="majorHAnsi" w:cstheme="majorHAnsi"/>
          <w:sz w:val="22"/>
          <w:szCs w:val="22"/>
        </w:rPr>
        <w:t>ii</w:t>
      </w:r>
      <w:proofErr w:type="spellEnd"/>
      <w:r w:rsidRPr="0059494B">
        <w:rPr>
          <w:rFonts w:asciiTheme="majorHAnsi" w:eastAsia="Calibri" w:hAnsiTheme="majorHAnsi" w:cstheme="majorHAnsi"/>
          <w:sz w:val="22"/>
          <w:szCs w:val="22"/>
        </w:rPr>
        <w:t>) la persona jurídica, en caso haya postulado como empresa joven. Esta deberá ser exclusiva del proyecto, y en donde se realizarán los desembolsos de los RNR (número de Cta., Código de Cuenta Interbancaria – CCI, nombre del Banco).</w:t>
      </w:r>
    </w:p>
    <w:p w14:paraId="4DB1C6C5" w14:textId="77777777" w:rsidR="00784CED" w:rsidRPr="0059494B" w:rsidRDefault="00784CED" w:rsidP="00784CED">
      <w:pPr>
        <w:widowControl w:val="0"/>
        <w:numPr>
          <w:ilvl w:val="0"/>
          <w:numId w:val="4"/>
        </w:numPr>
        <w:ind w:left="709" w:hanging="283"/>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lastRenderedPageBreak/>
        <w:t>Vigencia de poder del representante legal, en caso postule como persona jurídica</w:t>
      </w:r>
    </w:p>
    <w:p w14:paraId="382357D2" w14:textId="77777777" w:rsidR="00784CED" w:rsidRPr="0059494B" w:rsidRDefault="00784CED" w:rsidP="00784CED">
      <w:pPr>
        <w:widowControl w:val="0"/>
        <w:numPr>
          <w:ilvl w:val="0"/>
          <w:numId w:val="4"/>
        </w:numPr>
        <w:pBdr>
          <w:top w:val="nil"/>
          <w:left w:val="nil"/>
          <w:bottom w:val="nil"/>
          <w:right w:val="nil"/>
          <w:between w:val="nil"/>
        </w:pBdr>
        <w:ind w:left="709" w:hanging="283"/>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Pagaré por el monto total del RNR con firma física y huella digital, visado en el reverso y el anverso, según el modelo del Formato III.</w:t>
      </w:r>
    </w:p>
    <w:p w14:paraId="3EECEE7A" w14:textId="77777777" w:rsidR="00784CED" w:rsidRPr="0059494B" w:rsidRDefault="00784CED" w:rsidP="00784CED">
      <w:pPr>
        <w:widowControl w:val="0"/>
        <w:pBdr>
          <w:top w:val="nil"/>
          <w:left w:val="nil"/>
          <w:bottom w:val="nil"/>
          <w:right w:val="nil"/>
          <w:between w:val="nil"/>
        </w:pBdr>
        <w:jc w:val="both"/>
        <w:rPr>
          <w:rFonts w:asciiTheme="majorHAnsi" w:eastAsia="Calibri" w:hAnsiTheme="majorHAnsi" w:cstheme="majorHAnsi"/>
          <w:sz w:val="22"/>
          <w:szCs w:val="22"/>
        </w:rPr>
      </w:pPr>
    </w:p>
    <w:p w14:paraId="22859A56" w14:textId="77777777" w:rsidR="00784CED" w:rsidRPr="0059494B" w:rsidRDefault="00784CED" w:rsidP="00784CED">
      <w:pPr>
        <w:widowControl w:val="0"/>
        <w:numPr>
          <w:ilvl w:val="0"/>
          <w:numId w:val="9"/>
        </w:numPr>
        <w:ind w:left="0" w:firstLine="0"/>
        <w:jc w:val="both"/>
        <w:rPr>
          <w:rFonts w:asciiTheme="majorHAnsi" w:eastAsia="Calibri" w:hAnsiTheme="majorHAnsi" w:cstheme="majorHAnsi"/>
          <w:sz w:val="22"/>
          <w:szCs w:val="22"/>
          <w:lang w:val="es"/>
        </w:rPr>
      </w:pPr>
      <w:r w:rsidRPr="0059494B">
        <w:rPr>
          <w:rFonts w:asciiTheme="majorHAnsi" w:eastAsia="Calibri" w:hAnsiTheme="majorHAnsi" w:cstheme="majorHAnsi"/>
          <w:sz w:val="22"/>
          <w:szCs w:val="22"/>
          <w:lang w:val="es"/>
        </w:rPr>
        <w:t>El Contrato de Adjudicación de Recursos No Reembolsables (RNR) debe ser firmado y remitido a ProInnóvate en un plazo máximo de treinta (30) días calendario, contados a partir de su recepción.</w:t>
      </w:r>
    </w:p>
    <w:p w14:paraId="7A7E8AD0" w14:textId="77777777" w:rsidR="00784CED" w:rsidRPr="0059494B" w:rsidRDefault="00784CED" w:rsidP="00784CED">
      <w:pPr>
        <w:widowControl w:val="0"/>
        <w:jc w:val="both"/>
        <w:rPr>
          <w:rFonts w:asciiTheme="majorHAnsi" w:eastAsia="Calibri" w:hAnsiTheme="majorHAnsi" w:cstheme="majorHAnsi"/>
          <w:sz w:val="22"/>
          <w:szCs w:val="22"/>
          <w:lang w:val="es"/>
        </w:rPr>
      </w:pPr>
    </w:p>
    <w:p w14:paraId="63A048E5" w14:textId="77777777" w:rsidR="00784CED" w:rsidRPr="0059494B" w:rsidRDefault="00784CED" w:rsidP="00784CED">
      <w:pPr>
        <w:widowControl w:val="0"/>
        <w:numPr>
          <w:ilvl w:val="0"/>
          <w:numId w:val="9"/>
        </w:numPr>
        <w:ind w:left="0" w:firstLine="0"/>
        <w:jc w:val="both"/>
        <w:rPr>
          <w:rFonts w:asciiTheme="majorHAnsi" w:eastAsia="Calibri" w:hAnsiTheme="majorHAnsi" w:cstheme="majorHAnsi"/>
          <w:sz w:val="22"/>
          <w:szCs w:val="22"/>
          <w:lang w:val="es"/>
        </w:rPr>
      </w:pPr>
      <w:r w:rsidRPr="0059494B">
        <w:rPr>
          <w:rFonts w:asciiTheme="majorHAnsi" w:eastAsia="Calibri" w:hAnsiTheme="majorHAnsi" w:cstheme="majorHAnsi"/>
          <w:sz w:val="22"/>
          <w:szCs w:val="22"/>
          <w:lang w:val="es"/>
        </w:rPr>
        <w:t>El Equipo Emprendedor o persona jurídica beneficiaria se constituirá en la Entidad Ejecutora (EE) una vez firmado el Contrato de Adjudicación de Recursos No Reembolsables (RNR) y hasta la fecha de cierre del mismo.</w:t>
      </w:r>
    </w:p>
    <w:p w14:paraId="1719526F" w14:textId="77777777" w:rsidR="00784CED" w:rsidRPr="0059494B" w:rsidRDefault="00784CED" w:rsidP="00784CED">
      <w:pPr>
        <w:widowControl w:val="0"/>
        <w:jc w:val="both"/>
        <w:rPr>
          <w:rFonts w:asciiTheme="majorHAnsi" w:eastAsia="Calibri" w:hAnsiTheme="majorHAnsi" w:cstheme="majorHAnsi"/>
          <w:sz w:val="22"/>
          <w:szCs w:val="22"/>
        </w:rPr>
      </w:pPr>
    </w:p>
    <w:p w14:paraId="417C2C9D"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El </w:t>
      </w:r>
      <w:r w:rsidRPr="0059494B">
        <w:rPr>
          <w:rFonts w:asciiTheme="majorHAnsi" w:eastAsia="Calibri" w:hAnsiTheme="majorHAnsi" w:cstheme="majorHAnsi"/>
          <w:b/>
          <w:bCs/>
          <w:sz w:val="22"/>
          <w:szCs w:val="22"/>
        </w:rPr>
        <w:t>Contrato de Adjudicación de RNR</w:t>
      </w:r>
      <w:r w:rsidRPr="0059494B">
        <w:rPr>
          <w:rFonts w:asciiTheme="majorHAnsi" w:eastAsia="Calibri" w:hAnsiTheme="majorHAnsi" w:cstheme="majorHAnsi"/>
          <w:sz w:val="22"/>
          <w:szCs w:val="22"/>
        </w:rPr>
        <w:t xml:space="preserve"> contiene de manera referencial:</w:t>
      </w:r>
    </w:p>
    <w:p w14:paraId="53C85707" w14:textId="77777777" w:rsidR="00784CED" w:rsidRPr="0059494B" w:rsidRDefault="00784CED" w:rsidP="00784CED">
      <w:pPr>
        <w:widowControl w:val="0"/>
        <w:pBdr>
          <w:top w:val="nil"/>
          <w:left w:val="nil"/>
          <w:bottom w:val="nil"/>
          <w:right w:val="nil"/>
          <w:between w:val="nil"/>
        </w:pBdr>
        <w:jc w:val="both"/>
        <w:rPr>
          <w:rFonts w:asciiTheme="majorHAnsi" w:eastAsia="Calibri" w:hAnsiTheme="majorHAnsi" w:cstheme="majorHAnsi"/>
          <w:sz w:val="22"/>
          <w:szCs w:val="22"/>
        </w:rPr>
      </w:pPr>
    </w:p>
    <w:p w14:paraId="47BF9922" w14:textId="77777777" w:rsidR="00784CED" w:rsidRPr="0059494B" w:rsidRDefault="00784CED" w:rsidP="00784CED">
      <w:pPr>
        <w:widowControl w:val="0"/>
        <w:numPr>
          <w:ilvl w:val="0"/>
          <w:numId w:val="8"/>
        </w:numPr>
        <w:jc w:val="both"/>
        <w:rPr>
          <w:rFonts w:asciiTheme="majorHAnsi" w:hAnsiTheme="majorHAnsi" w:cstheme="majorHAnsi"/>
          <w:sz w:val="22"/>
          <w:szCs w:val="22"/>
        </w:rPr>
      </w:pPr>
      <w:r w:rsidRPr="0059494B">
        <w:rPr>
          <w:rFonts w:asciiTheme="majorHAnsi" w:hAnsiTheme="majorHAnsi" w:cstheme="majorHAnsi"/>
          <w:sz w:val="22"/>
          <w:szCs w:val="22"/>
        </w:rPr>
        <w:t>Objeto del Contrato, duración y vigencia.</w:t>
      </w:r>
    </w:p>
    <w:p w14:paraId="1C629548" w14:textId="77777777" w:rsidR="00784CED" w:rsidRPr="0059494B" w:rsidRDefault="00784CED" w:rsidP="00784CED">
      <w:pPr>
        <w:widowControl w:val="0"/>
        <w:numPr>
          <w:ilvl w:val="0"/>
          <w:numId w:val="8"/>
        </w:numPr>
        <w:jc w:val="both"/>
        <w:rPr>
          <w:rFonts w:asciiTheme="majorHAnsi" w:hAnsiTheme="majorHAnsi" w:cstheme="majorHAnsi"/>
          <w:sz w:val="22"/>
          <w:szCs w:val="22"/>
        </w:rPr>
      </w:pPr>
      <w:r w:rsidRPr="0059494B">
        <w:rPr>
          <w:rFonts w:asciiTheme="majorHAnsi" w:hAnsiTheme="majorHAnsi" w:cstheme="majorHAnsi"/>
          <w:sz w:val="22"/>
          <w:szCs w:val="22"/>
        </w:rPr>
        <w:t>Identificación de las partes.</w:t>
      </w:r>
    </w:p>
    <w:p w14:paraId="0D059C2A" w14:textId="77777777" w:rsidR="00784CED" w:rsidRPr="0059494B" w:rsidRDefault="00784CED" w:rsidP="00784CED">
      <w:pPr>
        <w:widowControl w:val="0"/>
        <w:numPr>
          <w:ilvl w:val="0"/>
          <w:numId w:val="8"/>
        </w:numPr>
        <w:pBdr>
          <w:top w:val="nil"/>
          <w:left w:val="nil"/>
          <w:bottom w:val="nil"/>
          <w:right w:val="nil"/>
          <w:between w:val="nil"/>
        </w:pBdr>
        <w:jc w:val="both"/>
        <w:rPr>
          <w:rFonts w:asciiTheme="majorHAnsi" w:hAnsiTheme="majorHAnsi" w:cstheme="majorHAnsi"/>
          <w:sz w:val="22"/>
          <w:szCs w:val="22"/>
        </w:rPr>
      </w:pPr>
      <w:r w:rsidRPr="0059494B">
        <w:rPr>
          <w:rFonts w:asciiTheme="majorHAnsi" w:hAnsiTheme="majorHAnsi" w:cstheme="majorHAnsi"/>
          <w:sz w:val="22"/>
          <w:szCs w:val="22"/>
        </w:rPr>
        <w:t>Obligaciones del equipo emprendedor durante y posterior a la ejecución del proyecto.</w:t>
      </w:r>
    </w:p>
    <w:p w14:paraId="2B44A2CB" w14:textId="77777777" w:rsidR="00784CED" w:rsidRPr="0059494B" w:rsidRDefault="00784CED" w:rsidP="00784CED">
      <w:pPr>
        <w:widowControl w:val="0"/>
        <w:numPr>
          <w:ilvl w:val="0"/>
          <w:numId w:val="8"/>
        </w:numPr>
        <w:jc w:val="both"/>
        <w:rPr>
          <w:rFonts w:asciiTheme="majorHAnsi" w:hAnsiTheme="majorHAnsi" w:cstheme="majorHAnsi"/>
          <w:sz w:val="22"/>
          <w:szCs w:val="22"/>
        </w:rPr>
      </w:pPr>
      <w:r w:rsidRPr="0059494B">
        <w:rPr>
          <w:rFonts w:asciiTheme="majorHAnsi" w:hAnsiTheme="majorHAnsi" w:cstheme="majorHAnsi"/>
          <w:sz w:val="22"/>
          <w:szCs w:val="22"/>
        </w:rPr>
        <w:t>Compromiso de confidencialidad</w:t>
      </w:r>
    </w:p>
    <w:p w14:paraId="03260DAE" w14:textId="77777777" w:rsidR="00784CED" w:rsidRPr="0059494B" w:rsidRDefault="00784CED" w:rsidP="00784CED">
      <w:pPr>
        <w:widowControl w:val="0"/>
        <w:numPr>
          <w:ilvl w:val="0"/>
          <w:numId w:val="8"/>
        </w:numPr>
        <w:jc w:val="both"/>
        <w:rPr>
          <w:rFonts w:asciiTheme="majorHAnsi" w:hAnsiTheme="majorHAnsi" w:cstheme="majorHAnsi"/>
          <w:sz w:val="22"/>
          <w:szCs w:val="22"/>
        </w:rPr>
      </w:pPr>
      <w:r w:rsidRPr="0059494B">
        <w:rPr>
          <w:rFonts w:asciiTheme="majorHAnsi" w:hAnsiTheme="majorHAnsi" w:cstheme="majorHAnsi"/>
          <w:sz w:val="22"/>
          <w:szCs w:val="22"/>
        </w:rPr>
        <w:t>Derechos de propiedad intelectual</w:t>
      </w:r>
    </w:p>
    <w:p w14:paraId="65E78E12" w14:textId="77777777" w:rsidR="00784CED" w:rsidRPr="0059494B" w:rsidRDefault="00784CED" w:rsidP="00784CED">
      <w:pPr>
        <w:widowControl w:val="0"/>
        <w:numPr>
          <w:ilvl w:val="0"/>
          <w:numId w:val="8"/>
        </w:numPr>
        <w:jc w:val="both"/>
        <w:rPr>
          <w:rFonts w:asciiTheme="majorHAnsi" w:hAnsiTheme="majorHAnsi" w:cstheme="majorHAnsi"/>
          <w:sz w:val="22"/>
          <w:szCs w:val="22"/>
        </w:rPr>
      </w:pPr>
      <w:r w:rsidRPr="0059494B">
        <w:rPr>
          <w:rFonts w:asciiTheme="majorHAnsi" w:hAnsiTheme="majorHAnsi" w:cstheme="majorHAnsi"/>
          <w:sz w:val="22"/>
          <w:szCs w:val="22"/>
        </w:rPr>
        <w:t>Domicilio actualizado de las partes</w:t>
      </w:r>
    </w:p>
    <w:p w14:paraId="7F423BC7" w14:textId="77777777" w:rsidR="00784CED" w:rsidRPr="0059494B" w:rsidRDefault="00784CED" w:rsidP="00784CED">
      <w:pPr>
        <w:widowControl w:val="0"/>
        <w:numPr>
          <w:ilvl w:val="0"/>
          <w:numId w:val="8"/>
        </w:numPr>
        <w:pBdr>
          <w:top w:val="nil"/>
          <w:left w:val="nil"/>
          <w:bottom w:val="nil"/>
          <w:right w:val="nil"/>
          <w:between w:val="nil"/>
        </w:pBdr>
        <w:jc w:val="both"/>
        <w:rPr>
          <w:rFonts w:asciiTheme="majorHAnsi" w:hAnsiTheme="majorHAnsi" w:cstheme="majorHAnsi"/>
          <w:sz w:val="22"/>
          <w:szCs w:val="22"/>
        </w:rPr>
      </w:pPr>
      <w:r w:rsidRPr="0059494B">
        <w:rPr>
          <w:rFonts w:asciiTheme="majorHAnsi" w:eastAsia="Calibri" w:hAnsiTheme="majorHAnsi" w:cstheme="majorHAnsi"/>
          <w:sz w:val="22"/>
          <w:szCs w:val="22"/>
        </w:rPr>
        <w:t xml:space="preserve">Proporcionar de manera semestral, durante cinco años la información necesaria para la medición y comunicación de resultados del proyecto. </w:t>
      </w:r>
    </w:p>
    <w:p w14:paraId="2AFC4013" w14:textId="77777777" w:rsidR="00784CED" w:rsidRPr="0059494B" w:rsidRDefault="00784CED" w:rsidP="00784CED">
      <w:pPr>
        <w:widowControl w:val="0"/>
        <w:numPr>
          <w:ilvl w:val="0"/>
          <w:numId w:val="8"/>
        </w:numPr>
        <w:pBdr>
          <w:top w:val="nil"/>
          <w:left w:val="nil"/>
          <w:bottom w:val="nil"/>
          <w:right w:val="nil"/>
          <w:between w:val="nil"/>
        </w:pBdr>
        <w:jc w:val="both"/>
        <w:rPr>
          <w:rFonts w:asciiTheme="majorHAnsi" w:hAnsiTheme="majorHAnsi" w:cstheme="majorHAnsi"/>
          <w:sz w:val="22"/>
          <w:szCs w:val="22"/>
        </w:rPr>
      </w:pPr>
      <w:r w:rsidRPr="0059494B">
        <w:rPr>
          <w:rFonts w:asciiTheme="majorHAnsi" w:eastAsia="Calibri" w:hAnsiTheme="majorHAnsi" w:cstheme="majorHAnsi"/>
          <w:sz w:val="22"/>
          <w:szCs w:val="22"/>
        </w:rPr>
        <w:t>Otras condiciones que sean necesarias para regular la transferencia de recursos.</w:t>
      </w:r>
    </w:p>
    <w:p w14:paraId="2A32D944" w14:textId="77777777" w:rsidR="00784CED" w:rsidRPr="0059494B" w:rsidRDefault="00784CED" w:rsidP="00784CED">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7BC5E0AA" w14:textId="77777777" w:rsidR="00784CED" w:rsidRPr="0059494B" w:rsidRDefault="00784CED" w:rsidP="00784CED">
      <w:pPr>
        <w:widowControl w:val="0"/>
        <w:numPr>
          <w:ilvl w:val="0"/>
          <w:numId w:val="9"/>
        </w:numPr>
        <w:pBdr>
          <w:top w:val="nil"/>
          <w:left w:val="nil"/>
          <w:bottom w:val="nil"/>
          <w:right w:val="nil"/>
          <w:between w:val="nil"/>
        </w:pBd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La ejecución y el seguimiento del proyecto se realizan en el marco del Manual Operativo de Proyectos del ProInnóvate, el cual será incluido en el Contrato de Adjudicación de RNR.</w:t>
      </w:r>
    </w:p>
    <w:p w14:paraId="7148C73A" w14:textId="77777777" w:rsidR="00784CED" w:rsidRPr="0059494B" w:rsidRDefault="00784CED" w:rsidP="00784CED">
      <w:pPr>
        <w:widowControl w:val="0"/>
        <w:jc w:val="both"/>
        <w:rPr>
          <w:rFonts w:asciiTheme="majorHAnsi" w:eastAsia="Calibri" w:hAnsiTheme="majorHAnsi" w:cstheme="majorHAnsi"/>
          <w:sz w:val="22"/>
          <w:szCs w:val="22"/>
        </w:rPr>
      </w:pPr>
    </w:p>
    <w:p w14:paraId="100FE473" w14:textId="77777777" w:rsidR="00784CED" w:rsidRPr="0059494B" w:rsidRDefault="00784CED" w:rsidP="00784CED">
      <w:pPr>
        <w:widowControl w:val="0"/>
        <w:jc w:val="both"/>
        <w:rPr>
          <w:rFonts w:asciiTheme="majorHAnsi" w:eastAsia="Calibri" w:hAnsiTheme="majorHAnsi" w:cstheme="majorHAnsi"/>
          <w:sz w:val="22"/>
          <w:szCs w:val="22"/>
        </w:rPr>
      </w:pPr>
    </w:p>
    <w:p w14:paraId="4CBBC44D" w14:textId="77777777" w:rsidR="00784CED" w:rsidRPr="00784CED" w:rsidRDefault="00784CED" w:rsidP="00784CED">
      <w:pPr>
        <w:pStyle w:val="Ttulo1"/>
        <w:spacing w:before="0" w:after="0"/>
        <w:jc w:val="center"/>
        <w:rPr>
          <w:rFonts w:asciiTheme="majorHAnsi" w:eastAsia="Calibri" w:hAnsiTheme="majorHAnsi" w:cstheme="majorHAnsi"/>
          <w:b w:val="0"/>
          <w:bCs/>
          <w:i/>
          <w:iCs/>
          <w:sz w:val="22"/>
          <w:szCs w:val="22"/>
        </w:rPr>
      </w:pPr>
      <w:r w:rsidRPr="00784CED">
        <w:rPr>
          <w:rFonts w:asciiTheme="majorHAnsi" w:eastAsia="Calibri" w:hAnsiTheme="majorHAnsi" w:cstheme="majorHAnsi"/>
          <w:b w:val="0"/>
          <w:bCs/>
          <w:i/>
          <w:iCs/>
          <w:sz w:val="22"/>
          <w:szCs w:val="22"/>
        </w:rPr>
        <w:br w:type="page"/>
      </w:r>
      <w:bookmarkStart w:id="9" w:name="_Toc144981559"/>
      <w:r w:rsidRPr="00784CED">
        <w:rPr>
          <w:rStyle w:val="Ttulodellibro"/>
          <w:rFonts w:asciiTheme="majorHAnsi" w:eastAsia="Calibri" w:hAnsiTheme="majorHAnsi" w:cstheme="majorHAnsi"/>
          <w:b/>
          <w:bCs w:val="0"/>
          <w:i w:val="0"/>
          <w:iCs w:val="0"/>
          <w:sz w:val="22"/>
          <w:szCs w:val="22"/>
        </w:rPr>
        <w:lastRenderedPageBreak/>
        <w:t>Anexo 5: Directrices para el convenio de acompañamiento con servicios administrativos y técnicos a brindar por incubadoras y aceleradoras financiadas por ProInnóvate</w:t>
      </w:r>
      <w:bookmarkEnd w:id="9"/>
      <w:r w:rsidRPr="00784CED">
        <w:rPr>
          <w:rFonts w:asciiTheme="majorHAnsi" w:eastAsia="Calibri" w:hAnsiTheme="majorHAnsi" w:cstheme="majorHAnsi"/>
          <w:b w:val="0"/>
          <w:bCs/>
          <w:i/>
          <w:iCs/>
          <w:sz w:val="22"/>
          <w:szCs w:val="22"/>
        </w:rPr>
        <w:t xml:space="preserve"> </w:t>
      </w:r>
    </w:p>
    <w:p w14:paraId="5A66A479" w14:textId="77777777" w:rsidR="00784CED" w:rsidRPr="0059494B" w:rsidRDefault="00784CED" w:rsidP="00784CED">
      <w:pPr>
        <w:jc w:val="both"/>
        <w:rPr>
          <w:rFonts w:asciiTheme="majorHAnsi" w:eastAsia="Calibri" w:hAnsiTheme="majorHAnsi" w:cstheme="majorHAnsi"/>
          <w:b/>
          <w:bCs/>
          <w:sz w:val="22"/>
          <w:szCs w:val="22"/>
        </w:rPr>
      </w:pPr>
    </w:p>
    <w:p w14:paraId="2EC0A261" w14:textId="77777777" w:rsidR="00784CED" w:rsidRPr="0059494B" w:rsidRDefault="00784CED" w:rsidP="00784CED">
      <w:pPr>
        <w:pStyle w:val="Prrafodelista"/>
        <w:numPr>
          <w:ilvl w:val="0"/>
          <w:numId w:val="10"/>
        </w:numP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Las incubadoras y aceleradoras que hayan sido financiadas por ProInnóvate (antes Innóvate Perú) tendrán la posibilidad de suscribir un convenio entre su entidad y ProInnóvate con el fin de recibir a aquellos equipos ganadores que hayan presentado y que hayan postulado de manera independiente, según lo indicado en la sección C de las bases. Se considerará válido para esta convocatoria los convenios suscritos con este fin en el marco de la convocatoria de Startup Perú 8G+ y Startup Perú 9G.</w:t>
      </w:r>
    </w:p>
    <w:p w14:paraId="2F2236B6" w14:textId="77777777" w:rsidR="00784CED" w:rsidRPr="0059494B" w:rsidRDefault="00784CED" w:rsidP="00784CED">
      <w:pPr>
        <w:pStyle w:val="Prrafodelista"/>
        <w:ind w:left="0"/>
        <w:jc w:val="both"/>
        <w:rPr>
          <w:rFonts w:asciiTheme="majorHAnsi" w:eastAsia="Calibri" w:hAnsiTheme="majorHAnsi" w:cstheme="majorHAnsi"/>
          <w:b/>
          <w:bCs/>
          <w:sz w:val="22"/>
          <w:szCs w:val="22"/>
        </w:rPr>
      </w:pPr>
    </w:p>
    <w:p w14:paraId="4E99A4EE" w14:textId="77777777" w:rsidR="00784CED" w:rsidRPr="0059494B" w:rsidRDefault="00784CED" w:rsidP="00784CED">
      <w:pPr>
        <w:pStyle w:val="Prrafodelista"/>
        <w:numPr>
          <w:ilvl w:val="0"/>
          <w:numId w:val="10"/>
        </w:numP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 xml:space="preserve">En dicho convenio, las incubadoras y aceleradoras interesadas deberán suscribir compromisos mínimos para el acompañamiento que brindarán a los proyectos que les sean asignados, los cuales deberán estar alineados al objetivo del presente concurso y por los que </w:t>
      </w:r>
      <w:r w:rsidRPr="0059494B">
        <w:rPr>
          <w:rFonts w:asciiTheme="majorHAnsi" w:eastAsia="Calibri" w:hAnsiTheme="majorHAnsi" w:cstheme="majorHAnsi"/>
          <w:sz w:val="22"/>
          <w:szCs w:val="22"/>
          <w:u w:val="single"/>
        </w:rPr>
        <w:t>recibirán un monto fijo por parte del equipo emprendedor ganador</w:t>
      </w:r>
      <w:r w:rsidRPr="0059494B">
        <w:rPr>
          <w:rFonts w:asciiTheme="majorHAnsi" w:eastAsia="Calibri" w:hAnsiTheme="majorHAnsi" w:cstheme="majorHAnsi"/>
          <w:sz w:val="22"/>
          <w:szCs w:val="22"/>
        </w:rPr>
        <w:t>.</w:t>
      </w:r>
    </w:p>
    <w:p w14:paraId="77591CDE" w14:textId="77777777" w:rsidR="00784CED" w:rsidRPr="0059494B" w:rsidRDefault="00784CED" w:rsidP="00784CED">
      <w:pPr>
        <w:jc w:val="both"/>
        <w:rPr>
          <w:rFonts w:asciiTheme="majorHAnsi" w:eastAsia="Calibri" w:hAnsiTheme="majorHAnsi" w:cstheme="majorHAnsi"/>
          <w:sz w:val="22"/>
          <w:szCs w:val="22"/>
        </w:rPr>
      </w:pPr>
    </w:p>
    <w:p w14:paraId="30B56BC2" w14:textId="77777777" w:rsidR="00784CED" w:rsidRPr="0059494B" w:rsidRDefault="00784CED" w:rsidP="00784CED">
      <w:pPr>
        <w:pStyle w:val="Prrafodelista"/>
        <w:numPr>
          <w:ilvl w:val="0"/>
          <w:numId w:val="10"/>
        </w:numPr>
        <w:ind w:left="0" w:firstLine="0"/>
        <w:jc w:val="both"/>
        <w:rPr>
          <w:rFonts w:asciiTheme="majorHAnsi" w:eastAsia="Calibri" w:hAnsiTheme="majorHAnsi" w:cstheme="majorHAnsi"/>
          <w:sz w:val="22"/>
          <w:szCs w:val="22"/>
        </w:rPr>
      </w:pPr>
      <w:r w:rsidRPr="0059494B">
        <w:rPr>
          <w:rFonts w:asciiTheme="majorHAnsi" w:eastAsia="Calibri" w:hAnsiTheme="majorHAnsi" w:cstheme="majorHAnsi"/>
          <w:sz w:val="22"/>
          <w:szCs w:val="22"/>
        </w:rPr>
        <w:t>Cabe precisar que la incubadora/aceleradora debe efectuar el seguimiento según los compromisos asumidos a los proyectos que respalda ya que en caso incumpliera sus obligaciones, el equipo emprendedor lo podrá reportar a ProInnóvate a fin de evaluar la no procedencia del pago correspondiente y/o la resolución del convenio de acompañamiento que se hubiere suscrito. No obstante, en caso de que, a pesar de haber cumplido sus obligaciones, el equipo emprendedor no efectúe el pago a la incubadora/aceleradora, ésta deberá comunicarlo a ProInnóvate, con el objeto de tomar las acciones necesarias y, de ser el caso, resolver el Contrato de Adjudicación de RNR suscrito con el equipo emprendedor.</w:t>
      </w:r>
    </w:p>
    <w:p w14:paraId="65371B8A" w14:textId="77777777" w:rsidR="00C748EE" w:rsidRDefault="00C748EE"/>
    <w:sectPr w:rsidR="00C748EE" w:rsidSect="00F7403D">
      <w:headerReference w:type="default" r:id="rId8"/>
      <w:footerReference w:type="even" r:id="rId9"/>
      <w:footerReference w:type="default" r:id="rId10"/>
      <w:pgSz w:w="11907" w:h="16840" w:code="9"/>
      <w:pgMar w:top="1417" w:right="1701" w:bottom="1417" w:left="1701"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8DE" w14:textId="77777777" w:rsidR="00784CED" w:rsidRDefault="00784CED" w:rsidP="00784CED">
      <w:r>
        <w:separator/>
      </w:r>
    </w:p>
  </w:endnote>
  <w:endnote w:type="continuationSeparator" w:id="0">
    <w:p w14:paraId="08E8067A" w14:textId="77777777" w:rsidR="00784CED" w:rsidRDefault="00784CED" w:rsidP="0078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AA4F" w14:textId="77777777" w:rsidR="00784CED" w:rsidRDefault="00784CED">
    <w:pPr>
      <w:pBdr>
        <w:top w:val="nil"/>
        <w:left w:val="nil"/>
        <w:bottom w:val="nil"/>
        <w:right w:val="nil"/>
        <w:between w:val="nil"/>
      </w:pBdr>
      <w:tabs>
        <w:tab w:val="center" w:pos="4252"/>
        <w:tab w:val="right" w:pos="8504"/>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79F3704A" w14:textId="77777777" w:rsidR="00784CED" w:rsidRDefault="00784CED">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F482" w14:textId="77777777" w:rsidR="00784CED" w:rsidRPr="00651981" w:rsidRDefault="00784CED" w:rsidP="001037B8">
    <w:pPr>
      <w:pBdr>
        <w:top w:val="nil"/>
        <w:left w:val="nil"/>
        <w:bottom w:val="nil"/>
        <w:right w:val="nil"/>
        <w:between w:val="nil"/>
      </w:pBdr>
      <w:tabs>
        <w:tab w:val="center" w:pos="4252"/>
        <w:tab w:val="right" w:pos="8504"/>
      </w:tabs>
      <w:jc w:val="right"/>
      <w:rPr>
        <w:rFonts w:asciiTheme="majorHAnsi" w:hAnsiTheme="majorHAnsi" w:cstheme="majorHAnsi"/>
        <w:color w:val="000000"/>
        <w:sz w:val="22"/>
        <w:szCs w:val="22"/>
      </w:rPr>
    </w:pPr>
    <w:hyperlink w:anchor="_top" w:history="1">
      <w:r w:rsidRPr="009C2ED2">
        <w:rPr>
          <w:rStyle w:val="Hipervnculo"/>
          <w:rFonts w:asciiTheme="majorHAnsi" w:hAnsiTheme="majorHAnsi" w:cstheme="majorHAnsi"/>
          <w:sz w:val="22"/>
          <w:szCs w:val="22"/>
        </w:rPr>
        <w:t>Volver al índice</w:t>
      </w:r>
    </w:hyperlink>
    <w:r>
      <w:rPr>
        <w:rFonts w:asciiTheme="majorHAnsi" w:hAnsiTheme="majorHAnsi" w:cstheme="majorHAnsi"/>
        <w:color w:val="000000"/>
        <w:sz w:val="22"/>
        <w:szCs w:val="22"/>
      </w:rPr>
      <w:t xml:space="preserve">                                                                                                                                           </w:t>
    </w:r>
    <w:r w:rsidRPr="00085209">
      <w:rPr>
        <w:rFonts w:asciiTheme="majorHAnsi" w:hAnsiTheme="majorHAnsi" w:cstheme="majorHAnsi"/>
        <w:color w:val="000000"/>
        <w:sz w:val="22"/>
        <w:szCs w:val="22"/>
        <w:shd w:val="clear" w:color="auto" w:fill="E6E6E6"/>
      </w:rPr>
      <w:fldChar w:fldCharType="begin"/>
    </w:r>
    <w:r w:rsidRPr="00085209">
      <w:rPr>
        <w:rFonts w:asciiTheme="majorHAnsi" w:hAnsiTheme="majorHAnsi" w:cstheme="majorHAnsi"/>
        <w:color w:val="000000"/>
        <w:sz w:val="22"/>
        <w:szCs w:val="22"/>
      </w:rPr>
      <w:instrText>PAGE</w:instrText>
    </w:r>
    <w:r w:rsidRPr="00085209">
      <w:rPr>
        <w:rFonts w:asciiTheme="majorHAnsi" w:hAnsiTheme="majorHAnsi" w:cstheme="majorHAnsi"/>
        <w:color w:val="000000"/>
        <w:sz w:val="22"/>
        <w:szCs w:val="22"/>
        <w:shd w:val="clear" w:color="auto" w:fill="E6E6E6"/>
      </w:rPr>
      <w:fldChar w:fldCharType="separate"/>
    </w:r>
    <w:r w:rsidRPr="00085209">
      <w:rPr>
        <w:rFonts w:asciiTheme="majorHAnsi" w:hAnsiTheme="majorHAnsi" w:cstheme="majorHAnsi"/>
        <w:noProof/>
        <w:color w:val="000000"/>
        <w:sz w:val="22"/>
        <w:szCs w:val="22"/>
        <w:shd w:val="clear" w:color="auto" w:fill="E6E6E6"/>
      </w:rPr>
      <w:t>24</w:t>
    </w:r>
    <w:r w:rsidRPr="00085209">
      <w:rPr>
        <w:rFonts w:asciiTheme="majorHAnsi" w:hAnsiTheme="majorHAnsi" w:cstheme="majorHAnsi"/>
        <w:color w:val="000000"/>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5924" w14:textId="77777777" w:rsidR="00784CED" w:rsidRDefault="00784CED" w:rsidP="00784CED">
      <w:r>
        <w:separator/>
      </w:r>
    </w:p>
  </w:footnote>
  <w:footnote w:type="continuationSeparator" w:id="0">
    <w:p w14:paraId="7D27B330" w14:textId="77777777" w:rsidR="00784CED" w:rsidRDefault="00784CED" w:rsidP="00784CED">
      <w:r>
        <w:continuationSeparator/>
      </w:r>
    </w:p>
  </w:footnote>
  <w:footnote w:id="1">
    <w:p w14:paraId="5391DBF6" w14:textId="77777777" w:rsidR="00784CED" w:rsidRPr="00DF5BD0" w:rsidRDefault="00784CED" w:rsidP="00784CED">
      <w:pPr>
        <w:jc w:val="both"/>
        <w:rPr>
          <w:rFonts w:asciiTheme="majorHAnsi" w:hAnsiTheme="majorHAnsi" w:cstheme="majorHAnsi"/>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sz w:val="18"/>
          <w:szCs w:val="18"/>
        </w:rPr>
        <w:t xml:space="preserve"> </w:t>
      </w:r>
      <w:r w:rsidRPr="00DF5BD0">
        <w:rPr>
          <w:rFonts w:asciiTheme="majorHAnsi" w:eastAsia="Calibri" w:hAnsiTheme="majorHAnsi" w:cstheme="majorHAnsi"/>
          <w:sz w:val="18"/>
          <w:szCs w:val="18"/>
        </w:rPr>
        <w:t>Si ha fraccionado su deuda ante la SUNAT y su deuda figura en estado coactivo, debe adjuntar la resolución de fraccionamiento en su postulación.</w:t>
      </w:r>
    </w:p>
  </w:footnote>
  <w:footnote w:id="2">
    <w:p w14:paraId="1DB041CA" w14:textId="77777777" w:rsidR="00784CED" w:rsidRPr="00DF5BD0" w:rsidRDefault="00784CED" w:rsidP="00784CED">
      <w:pPr>
        <w:pStyle w:val="Textonotapie"/>
        <w:jc w:val="both"/>
        <w:rPr>
          <w:rFonts w:asciiTheme="majorHAnsi" w:hAnsiTheme="majorHAnsi" w:cstheme="majorBidi"/>
          <w:sz w:val="18"/>
          <w:szCs w:val="18"/>
        </w:rPr>
      </w:pPr>
      <w:r w:rsidRPr="1D27002E">
        <w:rPr>
          <w:rStyle w:val="Refdenotaalpie"/>
          <w:rFonts w:asciiTheme="majorHAnsi" w:hAnsiTheme="majorHAnsi" w:cstheme="majorBidi"/>
          <w:sz w:val="18"/>
          <w:szCs w:val="18"/>
        </w:rPr>
        <w:footnoteRef/>
      </w:r>
      <w:r w:rsidRPr="1D27002E">
        <w:rPr>
          <w:rFonts w:asciiTheme="majorHAnsi" w:hAnsiTheme="majorHAnsi" w:cstheme="majorBidi"/>
          <w:sz w:val="18"/>
          <w:szCs w:val="18"/>
        </w:rPr>
        <w:t xml:space="preserve"> Se deberá presentar el documento que acredite su último puesto de trabajo al momento de suscribir el contrato.</w:t>
      </w:r>
    </w:p>
  </w:footnote>
  <w:footnote w:id="3">
    <w:p w14:paraId="0DD8988F" w14:textId="77777777" w:rsidR="00784CED" w:rsidRPr="00DF5BD0" w:rsidRDefault="00784CED" w:rsidP="00784CED">
      <w:pPr>
        <w:pBdr>
          <w:top w:val="nil"/>
          <w:left w:val="nil"/>
          <w:bottom w:val="nil"/>
          <w:right w:val="nil"/>
          <w:between w:val="nil"/>
        </w:pBdr>
        <w:jc w:val="both"/>
        <w:rPr>
          <w:rFonts w:asciiTheme="majorHAnsi" w:hAnsiTheme="majorHAnsi" w:cstheme="majorHAnsi"/>
          <w:color w:val="000000"/>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color w:val="000000"/>
          <w:sz w:val="18"/>
          <w:szCs w:val="18"/>
        </w:rPr>
        <w:t xml:space="preserve"> La empresa debe adjuntar la partida registral o libro de </w:t>
      </w:r>
      <w:r w:rsidRPr="00DF5BD0">
        <w:rPr>
          <w:rFonts w:asciiTheme="majorHAnsi" w:hAnsiTheme="majorHAnsi" w:cstheme="majorHAnsi"/>
          <w:sz w:val="18"/>
          <w:szCs w:val="18"/>
        </w:rPr>
        <w:t>matrícula</w:t>
      </w:r>
      <w:r w:rsidRPr="00DF5BD0">
        <w:rPr>
          <w:rFonts w:asciiTheme="majorHAnsi" w:hAnsiTheme="majorHAnsi" w:cstheme="majorHAnsi"/>
          <w:color w:val="000000"/>
          <w:sz w:val="18"/>
          <w:szCs w:val="18"/>
        </w:rPr>
        <w:t xml:space="preserve"> de acciones en donde figure </w:t>
      </w:r>
      <w:r>
        <w:rPr>
          <w:rFonts w:asciiTheme="majorHAnsi" w:hAnsiTheme="majorHAnsi" w:cstheme="majorHAnsi"/>
          <w:color w:val="000000"/>
          <w:sz w:val="18"/>
          <w:szCs w:val="18"/>
        </w:rPr>
        <w:t>la información solicitada</w:t>
      </w:r>
      <w:r w:rsidRPr="00DF5BD0">
        <w:rPr>
          <w:rFonts w:asciiTheme="majorHAnsi" w:hAnsiTheme="majorHAnsi" w:cstheme="majorHAnsi"/>
          <w:color w:val="000000"/>
          <w:sz w:val="18"/>
          <w:szCs w:val="18"/>
        </w:rPr>
        <w:t>.</w:t>
      </w:r>
    </w:p>
  </w:footnote>
  <w:footnote w:id="4">
    <w:p w14:paraId="496165F0" w14:textId="77777777" w:rsidR="00784CED" w:rsidRPr="00225CC9" w:rsidRDefault="00784CED" w:rsidP="00784CED">
      <w:pPr>
        <w:pStyle w:val="Textocomentario"/>
        <w:jc w:val="both"/>
        <w:rPr>
          <w:rFonts w:asciiTheme="majorHAnsi" w:hAnsiTheme="majorHAnsi" w:cstheme="majorHAnsi"/>
          <w:sz w:val="18"/>
          <w:szCs w:val="18"/>
        </w:rPr>
      </w:pPr>
      <w:r w:rsidRPr="00225CC9">
        <w:rPr>
          <w:rStyle w:val="Refdenotaalpie"/>
          <w:rFonts w:asciiTheme="majorHAnsi" w:hAnsiTheme="majorHAnsi" w:cstheme="majorHAnsi"/>
          <w:sz w:val="18"/>
          <w:szCs w:val="18"/>
        </w:rPr>
        <w:footnoteRef/>
      </w:r>
      <w:r w:rsidRPr="00225CC9">
        <w:rPr>
          <w:rFonts w:asciiTheme="majorHAnsi" w:hAnsiTheme="majorHAnsi" w:cstheme="majorHAnsi"/>
          <w:sz w:val="18"/>
          <w:szCs w:val="18"/>
        </w:rPr>
        <w:t xml:space="preserve"> Tales como documentación del conocimiento tecnológico, técnicas y know-how (por ejemplo, manuales, especificaciones, pruebas, certificaciones, informes de asistencia técnica), diseño industrial, protección de propiedad intelectual, autorizaciones para comercialización, información financiera, organización para producción y logística de abastecimiento y distribución, plan de puesta en marcha de la estrategia comercial para la introducción al mercado, y toda la información de las condiciones necesarias para llevar la innovación al consumidor final o a las potenciales empresas o instituciones receptoras del desarrollo, para su industrialización a mayor escala.</w:t>
      </w:r>
    </w:p>
    <w:p w14:paraId="389086AC" w14:textId="77777777" w:rsidR="00784CED" w:rsidRPr="005653F7" w:rsidRDefault="00784CED" w:rsidP="00784CED">
      <w:pPr>
        <w:pStyle w:val="Textonotapie"/>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5033" w14:textId="77777777" w:rsidR="00784CED" w:rsidRDefault="00784CED">
    <w:pPr>
      <w:pBdr>
        <w:top w:val="nil"/>
        <w:left w:val="nil"/>
        <w:bottom w:val="nil"/>
        <w:right w:val="nil"/>
        <w:between w:val="nil"/>
      </w:pBdr>
      <w:tabs>
        <w:tab w:val="center" w:pos="4252"/>
        <w:tab w:val="right" w:pos="8504"/>
      </w:tabs>
      <w:jc w:val="right"/>
      <w:rPr>
        <w:rFonts w:ascii="Arial" w:eastAsia="Arial" w:hAnsi="Arial" w:cs="Arial"/>
        <w:color w:val="000000"/>
        <w:sz w:val="18"/>
        <w:szCs w:val="18"/>
        <w:u w:val="single"/>
      </w:rPr>
    </w:pPr>
    <w:r>
      <w:rPr>
        <w:rFonts w:ascii="Arial" w:eastAsia="Arial" w:hAnsi="Arial" w:cs="Arial"/>
        <w:noProof/>
        <w:color w:val="000000"/>
        <w:sz w:val="18"/>
        <w:szCs w:val="18"/>
      </w:rPr>
      <w:drawing>
        <wp:anchor distT="0" distB="0" distL="114300" distR="114300" simplePos="0" relativeHeight="251660288" behindDoc="0" locked="0" layoutInCell="1" allowOverlap="1" wp14:anchorId="62911A4A" wp14:editId="73AA7F91">
          <wp:simplePos x="0" y="0"/>
          <wp:positionH relativeFrom="margin">
            <wp:posOffset>4133850</wp:posOffset>
          </wp:positionH>
          <wp:positionV relativeFrom="paragraph">
            <wp:posOffset>-194310</wp:posOffset>
          </wp:positionV>
          <wp:extent cx="1266825" cy="407035"/>
          <wp:effectExtent l="0" t="0" r="0" b="0"/>
          <wp:wrapSquare wrapText="bothSides"/>
          <wp:docPr id="5637140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14024" name="Imagen 563714024"/>
                  <pic:cNvPicPr/>
                </pic:nvPicPr>
                <pic:blipFill>
                  <a:blip r:embed="rId1">
                    <a:extLst>
                      <a:ext uri="{28A0092B-C50C-407E-A947-70E740481C1C}">
                        <a14:useLocalDpi xmlns:a14="http://schemas.microsoft.com/office/drawing/2010/main" val="0"/>
                      </a:ext>
                    </a:extLst>
                  </a:blip>
                  <a:stretch>
                    <a:fillRect/>
                  </a:stretch>
                </pic:blipFill>
                <pic:spPr>
                  <a:xfrm>
                    <a:off x="0" y="0"/>
                    <a:ext cx="1266825" cy="40703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sz w:val="18"/>
        <w:szCs w:val="18"/>
      </w:rPr>
      <w:drawing>
        <wp:anchor distT="0" distB="0" distL="114300" distR="114300" simplePos="0" relativeHeight="251659264" behindDoc="0" locked="0" layoutInCell="1" allowOverlap="1" wp14:anchorId="6EECD316" wp14:editId="0E6AE51D">
          <wp:simplePos x="0" y="0"/>
          <wp:positionH relativeFrom="margin">
            <wp:posOffset>0</wp:posOffset>
          </wp:positionH>
          <wp:positionV relativeFrom="paragraph">
            <wp:posOffset>-215120</wp:posOffset>
          </wp:positionV>
          <wp:extent cx="1750060" cy="354330"/>
          <wp:effectExtent l="0" t="0" r="2540" b="7620"/>
          <wp:wrapSquare wrapText="bothSides"/>
          <wp:docPr id="12459239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3975" name="Imagen 1245923975"/>
                  <pic:cNvPicPr/>
                </pic:nvPicPr>
                <pic:blipFill>
                  <a:blip r:embed="rId2">
                    <a:extLst>
                      <a:ext uri="{28A0092B-C50C-407E-A947-70E740481C1C}">
                        <a14:useLocalDpi xmlns:a14="http://schemas.microsoft.com/office/drawing/2010/main" val="0"/>
                      </a:ext>
                    </a:extLst>
                  </a:blip>
                  <a:stretch>
                    <a:fillRect/>
                  </a:stretch>
                </pic:blipFill>
                <pic:spPr>
                  <a:xfrm>
                    <a:off x="0" y="0"/>
                    <a:ext cx="1750060" cy="354330"/>
                  </a:xfrm>
                  <a:prstGeom prst="rect">
                    <a:avLst/>
                  </a:prstGeom>
                </pic:spPr>
              </pic:pic>
            </a:graphicData>
          </a:graphic>
          <wp14:sizeRelV relativeFrom="margin">
            <wp14:pctHeight>0</wp14:pctHeight>
          </wp14:sizeRelV>
        </wp:anchor>
      </w:drawing>
    </w:r>
    <w:r>
      <w:rPr>
        <w:rFonts w:ascii="Arial" w:eastAsia="Arial" w:hAnsi="Arial" w:cs="Arial"/>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A6A"/>
    <w:multiLevelType w:val="multilevel"/>
    <w:tmpl w:val="1C0E8D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A06A23"/>
    <w:multiLevelType w:val="multilevel"/>
    <w:tmpl w:val="374254C6"/>
    <w:lvl w:ilvl="0">
      <w:start w:val="1"/>
      <w:numFmt w:val="lowerRoman"/>
      <w:lvlText w:val="%1."/>
      <w:lvlJc w:val="right"/>
      <w:pPr>
        <w:ind w:left="360" w:hanging="360"/>
      </w:pPr>
      <w:rPr>
        <w:rFonts w:hint="default"/>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61164FD"/>
    <w:multiLevelType w:val="hybridMultilevel"/>
    <w:tmpl w:val="5DD88FC6"/>
    <w:lvl w:ilvl="0" w:tplc="FFFFFFFF">
      <w:start w:val="1"/>
      <w:numFmt w:val="decimalZero"/>
      <w:lvlText w:val="%1."/>
      <w:lvlJc w:val="left"/>
      <w:pPr>
        <w:ind w:left="720" w:hanging="360"/>
      </w:pPr>
      <w:rPr>
        <w:rFonts w:asciiTheme="majorHAnsi" w:hAnsiTheme="majorHAnsi" w:cstheme="majorHAnsi" w:hint="default"/>
        <w:b w:val="0"/>
        <w:bCs/>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52117"/>
    <w:multiLevelType w:val="hybridMultilevel"/>
    <w:tmpl w:val="36A27594"/>
    <w:lvl w:ilvl="0" w:tplc="40AEC2FC">
      <w:start w:val="1"/>
      <w:numFmt w:val="lowerRoman"/>
      <w:lvlText w:val="%1."/>
      <w:lvlJc w:val="left"/>
      <w:pPr>
        <w:ind w:left="720" w:hanging="360"/>
      </w:pPr>
    </w:lvl>
    <w:lvl w:ilvl="1" w:tplc="B0845CFE">
      <w:start w:val="1"/>
      <w:numFmt w:val="lowerLetter"/>
      <w:lvlText w:val="%2."/>
      <w:lvlJc w:val="left"/>
      <w:pPr>
        <w:ind w:left="1440" w:hanging="360"/>
      </w:pPr>
    </w:lvl>
    <w:lvl w:ilvl="2" w:tplc="0010E738">
      <w:start w:val="1"/>
      <w:numFmt w:val="lowerRoman"/>
      <w:lvlText w:val="%3."/>
      <w:lvlJc w:val="right"/>
      <w:pPr>
        <w:ind w:left="2160" w:hanging="180"/>
      </w:pPr>
    </w:lvl>
    <w:lvl w:ilvl="3" w:tplc="F83CA504">
      <w:start w:val="1"/>
      <w:numFmt w:val="decimal"/>
      <w:lvlText w:val="%4."/>
      <w:lvlJc w:val="left"/>
      <w:pPr>
        <w:ind w:left="2880" w:hanging="360"/>
      </w:pPr>
    </w:lvl>
    <w:lvl w:ilvl="4" w:tplc="1F823196">
      <w:start w:val="1"/>
      <w:numFmt w:val="lowerLetter"/>
      <w:lvlText w:val="%5."/>
      <w:lvlJc w:val="left"/>
      <w:pPr>
        <w:ind w:left="3600" w:hanging="360"/>
      </w:pPr>
    </w:lvl>
    <w:lvl w:ilvl="5" w:tplc="B62EBA1E">
      <w:start w:val="1"/>
      <w:numFmt w:val="lowerRoman"/>
      <w:lvlText w:val="%6."/>
      <w:lvlJc w:val="right"/>
      <w:pPr>
        <w:ind w:left="4320" w:hanging="180"/>
      </w:pPr>
    </w:lvl>
    <w:lvl w:ilvl="6" w:tplc="AC42E3AC">
      <w:start w:val="1"/>
      <w:numFmt w:val="decimal"/>
      <w:lvlText w:val="%7."/>
      <w:lvlJc w:val="left"/>
      <w:pPr>
        <w:ind w:left="5040" w:hanging="360"/>
      </w:pPr>
    </w:lvl>
    <w:lvl w:ilvl="7" w:tplc="BFAE2E00">
      <w:start w:val="1"/>
      <w:numFmt w:val="lowerLetter"/>
      <w:lvlText w:val="%8."/>
      <w:lvlJc w:val="left"/>
      <w:pPr>
        <w:ind w:left="5760" w:hanging="360"/>
      </w:pPr>
    </w:lvl>
    <w:lvl w:ilvl="8" w:tplc="38EC07A4">
      <w:start w:val="1"/>
      <w:numFmt w:val="lowerRoman"/>
      <w:lvlText w:val="%9."/>
      <w:lvlJc w:val="right"/>
      <w:pPr>
        <w:ind w:left="6480" w:hanging="180"/>
      </w:pPr>
    </w:lvl>
  </w:abstractNum>
  <w:abstractNum w:abstractNumId="4" w15:restartNumberingAfterBreak="0">
    <w:nsid w:val="0CBD50A3"/>
    <w:multiLevelType w:val="multilevel"/>
    <w:tmpl w:val="D4A2DD12"/>
    <w:lvl w:ilvl="0">
      <w:start w:val="1"/>
      <w:numFmt w:val="lowerRoman"/>
      <w:lvlText w:val="%1."/>
      <w:lvlJc w:val="righ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1740C5"/>
    <w:multiLevelType w:val="hybridMultilevel"/>
    <w:tmpl w:val="67524C1E"/>
    <w:lvl w:ilvl="0" w:tplc="280A001B">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F90E64"/>
    <w:multiLevelType w:val="multilevel"/>
    <w:tmpl w:val="91643880"/>
    <w:lvl w:ilvl="0">
      <w:start w:val="1"/>
      <w:numFmt w:val="decimal"/>
      <w:lvlText w:val="%1."/>
      <w:lvlJc w:val="left"/>
      <w:pPr>
        <w:ind w:left="360" w:hanging="360"/>
      </w:pPr>
      <w:rPr>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8F94C23"/>
    <w:multiLevelType w:val="multilevel"/>
    <w:tmpl w:val="576C1BD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B2C1E03"/>
    <w:multiLevelType w:val="hybridMultilevel"/>
    <w:tmpl w:val="B84256FC"/>
    <w:lvl w:ilvl="0" w:tplc="FFFFFFFF">
      <w:start w:val="1"/>
      <w:numFmt w:val="decimal"/>
      <w:lvlText w:val="%1."/>
      <w:lvlJc w:val="left"/>
      <w:pPr>
        <w:ind w:left="786" w:hanging="360"/>
      </w:pPr>
      <w:rPr>
        <w:b w:val="0"/>
        <w:bCs/>
        <w:i w:val="0"/>
        <w:iCs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2D730CB"/>
    <w:multiLevelType w:val="hybridMultilevel"/>
    <w:tmpl w:val="4294AC08"/>
    <w:lvl w:ilvl="0" w:tplc="E80CAE68">
      <w:start w:val="10"/>
      <w:numFmt w:val="bullet"/>
      <w:lvlText w:val="-"/>
      <w:lvlJc w:val="left"/>
      <w:pPr>
        <w:ind w:left="1440" w:hanging="360"/>
      </w:pPr>
      <w:rPr>
        <w:rFonts w:ascii="Calibri" w:eastAsia="Calibr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38A551B4"/>
    <w:multiLevelType w:val="multilevel"/>
    <w:tmpl w:val="3CA6282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9BC2F31"/>
    <w:multiLevelType w:val="multilevel"/>
    <w:tmpl w:val="38102874"/>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2"/>
      <w:numFmt w:val="upperRoman"/>
      <w:lvlText w:val="%6."/>
      <w:lvlJc w:val="left"/>
      <w:pPr>
        <w:ind w:left="3540" w:hanging="720"/>
      </w:pPr>
      <w:rPr>
        <w:vertAlign w:val="baseline"/>
      </w:rPr>
    </w:lvl>
    <w:lvl w:ilvl="6">
      <w:start w:val="1"/>
      <w:numFmt w:val="bullet"/>
      <w:lvlText w:val="●"/>
      <w:lvlJc w:val="left"/>
      <w:pPr>
        <w:ind w:left="3900" w:hanging="360"/>
      </w:pPr>
      <w:rPr>
        <w:rFonts w:ascii="Noto Sans Symbols" w:eastAsia="Noto Sans Symbols" w:hAnsi="Noto Sans Symbols" w:cs="Noto Sans Symbols"/>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12" w15:restartNumberingAfterBreak="0">
    <w:nsid w:val="3C072223"/>
    <w:multiLevelType w:val="hybridMultilevel"/>
    <w:tmpl w:val="EBD291C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00E10"/>
    <w:multiLevelType w:val="hybridMultilevel"/>
    <w:tmpl w:val="6074B508"/>
    <w:lvl w:ilvl="0" w:tplc="E80CAE68">
      <w:start w:val="10"/>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F9A3930"/>
    <w:multiLevelType w:val="hybridMultilevel"/>
    <w:tmpl w:val="71F67568"/>
    <w:lvl w:ilvl="0" w:tplc="8A9ABEC4">
      <w:start w:val="1"/>
      <w:numFmt w:val="decimalZero"/>
      <w:lvlText w:val="%1."/>
      <w:lvlJc w:val="left"/>
      <w:pPr>
        <w:ind w:left="720" w:hanging="360"/>
      </w:pPr>
      <w:rPr>
        <w:rFonts w:hint="default"/>
        <w:b w:val="0"/>
        <w:bCs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5A62E82"/>
    <w:multiLevelType w:val="hybridMultilevel"/>
    <w:tmpl w:val="BBEA74A8"/>
    <w:lvl w:ilvl="0" w:tplc="E80CAE68">
      <w:start w:val="10"/>
      <w:numFmt w:val="bullet"/>
      <w:lvlText w:val="-"/>
      <w:lvlJc w:val="left"/>
      <w:pPr>
        <w:ind w:left="1530" w:hanging="360"/>
      </w:pPr>
      <w:rPr>
        <w:rFonts w:ascii="Calibri" w:eastAsia="Calibri" w:hAnsi="Calibri" w:cs="Calibri"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16" w15:restartNumberingAfterBreak="0">
    <w:nsid w:val="45D676D2"/>
    <w:multiLevelType w:val="hybridMultilevel"/>
    <w:tmpl w:val="392E2512"/>
    <w:lvl w:ilvl="0" w:tplc="E80CAE68">
      <w:start w:val="10"/>
      <w:numFmt w:val="bullet"/>
      <w:lvlText w:val="-"/>
      <w:lvlJc w:val="left"/>
      <w:pPr>
        <w:ind w:left="862" w:hanging="360"/>
      </w:pPr>
      <w:rPr>
        <w:rFonts w:ascii="Calibri" w:eastAsia="Calibri" w:hAnsi="Calibri" w:cs="Calibri"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7" w15:restartNumberingAfterBreak="0">
    <w:nsid w:val="46FC74B1"/>
    <w:multiLevelType w:val="multilevel"/>
    <w:tmpl w:val="12C8E3C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8DB3D0F"/>
    <w:multiLevelType w:val="multilevel"/>
    <w:tmpl w:val="D540B192"/>
    <w:lvl w:ilvl="0">
      <w:start w:val="1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35F8A"/>
    <w:multiLevelType w:val="hybridMultilevel"/>
    <w:tmpl w:val="E8ACC5DA"/>
    <w:lvl w:ilvl="0" w:tplc="E80CAE68">
      <w:start w:val="10"/>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523750B"/>
    <w:multiLevelType w:val="multilevel"/>
    <w:tmpl w:val="DC6E1140"/>
    <w:lvl w:ilvl="0">
      <w:start w:val="1"/>
      <w:numFmt w:val="lowerRoman"/>
      <w:lvlText w:val="%1."/>
      <w:lvlJc w:val="right"/>
      <w:pPr>
        <w:ind w:left="720" w:hanging="360"/>
      </w:pPr>
      <w:rPr>
        <w:rFonts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3C0A40"/>
    <w:multiLevelType w:val="multilevel"/>
    <w:tmpl w:val="DE620A2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F161FAA"/>
    <w:multiLevelType w:val="multilevel"/>
    <w:tmpl w:val="73829F66"/>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lowerRoman"/>
      <w:lvlText w:val="%2."/>
      <w:lvlJc w:val="right"/>
      <w:pPr>
        <w:ind w:left="300" w:hanging="360"/>
      </w:pPr>
      <w:rPr>
        <w:rFonts w:hint="default"/>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bullet"/>
      <w:lvlText w:val=""/>
      <w:lvlJc w:val="left"/>
      <w:pPr>
        <w:ind w:left="3540" w:hanging="720"/>
      </w:pPr>
      <w:rPr>
        <w:rFonts w:ascii="Symbol" w:hAnsi="Symbol" w:hint="default"/>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23" w15:restartNumberingAfterBreak="0">
    <w:nsid w:val="609B52B8"/>
    <w:multiLevelType w:val="hybridMultilevel"/>
    <w:tmpl w:val="B5BEEDA4"/>
    <w:lvl w:ilvl="0" w:tplc="655C038E">
      <w:start w:val="1"/>
      <w:numFmt w:val="lowerRoman"/>
      <w:lvlText w:val="%1."/>
      <w:lvlJc w:val="left"/>
      <w:pPr>
        <w:ind w:left="1080" w:hanging="720"/>
      </w:pPr>
      <w:rPr>
        <w:rFonts w:asciiTheme="majorHAnsi" w:eastAsia="Calibri" w:hAnsiTheme="majorHAnsi" w:cstheme="maj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1636633"/>
    <w:multiLevelType w:val="hybridMultilevel"/>
    <w:tmpl w:val="F9605AE6"/>
    <w:lvl w:ilvl="0" w:tplc="E80CAE68">
      <w:start w:val="10"/>
      <w:numFmt w:val="bullet"/>
      <w:lvlText w:val="-"/>
      <w:lvlJc w:val="left"/>
      <w:pPr>
        <w:ind w:left="1440" w:hanging="360"/>
      </w:pPr>
      <w:rPr>
        <w:rFonts w:ascii="Calibri" w:eastAsia="Calibr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68305450"/>
    <w:multiLevelType w:val="hybridMultilevel"/>
    <w:tmpl w:val="944E047C"/>
    <w:lvl w:ilvl="0" w:tplc="E80CAE68">
      <w:start w:val="10"/>
      <w:numFmt w:val="bullet"/>
      <w:lvlText w:val="-"/>
      <w:lvlJc w:val="left"/>
      <w:pPr>
        <w:ind w:left="1530" w:hanging="360"/>
      </w:pPr>
      <w:rPr>
        <w:rFonts w:ascii="Calibri" w:eastAsia="Calibri" w:hAnsi="Calibri" w:cs="Calibri"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6" w15:restartNumberingAfterBreak="0">
    <w:nsid w:val="785D6A79"/>
    <w:multiLevelType w:val="multilevel"/>
    <w:tmpl w:val="D3B8EF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FFA7448"/>
    <w:multiLevelType w:val="hybridMultilevel"/>
    <w:tmpl w:val="65DAEB66"/>
    <w:lvl w:ilvl="0" w:tplc="4A46D522">
      <w:start w:val="1"/>
      <w:numFmt w:val="decimalZero"/>
      <w:lvlText w:val="%1."/>
      <w:lvlJc w:val="left"/>
      <w:pPr>
        <w:ind w:left="72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04072692">
    <w:abstractNumId w:val="3"/>
  </w:num>
  <w:num w:numId="2" w16cid:durableId="2025013739">
    <w:abstractNumId w:val="6"/>
  </w:num>
  <w:num w:numId="3" w16cid:durableId="444272640">
    <w:abstractNumId w:val="11"/>
  </w:num>
  <w:num w:numId="4" w16cid:durableId="5520824">
    <w:abstractNumId w:val="4"/>
  </w:num>
  <w:num w:numId="5" w16cid:durableId="1985235247">
    <w:abstractNumId w:val="5"/>
  </w:num>
  <w:num w:numId="6" w16cid:durableId="1362168281">
    <w:abstractNumId w:val="1"/>
  </w:num>
  <w:num w:numId="7" w16cid:durableId="1949241855">
    <w:abstractNumId w:val="22"/>
  </w:num>
  <w:num w:numId="8" w16cid:durableId="560822931">
    <w:abstractNumId w:val="20"/>
  </w:num>
  <w:num w:numId="9" w16cid:durableId="935597933">
    <w:abstractNumId w:val="8"/>
  </w:num>
  <w:num w:numId="10" w16cid:durableId="1574464077">
    <w:abstractNumId w:val="27"/>
  </w:num>
  <w:num w:numId="11" w16cid:durableId="1305817718">
    <w:abstractNumId w:val="2"/>
  </w:num>
  <w:num w:numId="12" w16cid:durableId="555629180">
    <w:abstractNumId w:val="12"/>
  </w:num>
  <w:num w:numId="13" w16cid:durableId="1686322713">
    <w:abstractNumId w:val="13"/>
  </w:num>
  <w:num w:numId="14" w16cid:durableId="2046516942">
    <w:abstractNumId w:val="23"/>
  </w:num>
  <w:num w:numId="15" w16cid:durableId="1401520091">
    <w:abstractNumId w:val="14"/>
  </w:num>
  <w:num w:numId="16" w16cid:durableId="1273247741">
    <w:abstractNumId w:val="17"/>
  </w:num>
  <w:num w:numId="17" w16cid:durableId="645431240">
    <w:abstractNumId w:val="26"/>
  </w:num>
  <w:num w:numId="18" w16cid:durableId="2143765397">
    <w:abstractNumId w:val="10"/>
  </w:num>
  <w:num w:numId="19" w16cid:durableId="1798254100">
    <w:abstractNumId w:val="0"/>
  </w:num>
  <w:num w:numId="20" w16cid:durableId="1937328610">
    <w:abstractNumId w:val="7"/>
  </w:num>
  <w:num w:numId="21" w16cid:durableId="941496657">
    <w:abstractNumId w:val="21"/>
  </w:num>
  <w:num w:numId="22" w16cid:durableId="1591700258">
    <w:abstractNumId w:val="16"/>
  </w:num>
  <w:num w:numId="23" w16cid:durableId="1143278973">
    <w:abstractNumId w:val="18"/>
  </w:num>
  <w:num w:numId="24" w16cid:durableId="577591714">
    <w:abstractNumId w:val="15"/>
  </w:num>
  <w:num w:numId="25" w16cid:durableId="1793941166">
    <w:abstractNumId w:val="19"/>
  </w:num>
  <w:num w:numId="26" w16cid:durableId="2001764230">
    <w:abstractNumId w:val="25"/>
  </w:num>
  <w:num w:numId="27" w16cid:durableId="372314608">
    <w:abstractNumId w:val="24"/>
  </w:num>
  <w:num w:numId="28" w16cid:durableId="1180310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ED"/>
    <w:rsid w:val="00784CED"/>
    <w:rsid w:val="00C748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169E"/>
  <w15:chartTrackingRefBased/>
  <w15:docId w15:val="{B6075AFD-49E4-4D81-BC0C-8059C1EE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CED"/>
    <w:pPr>
      <w:spacing w:line="240" w:lineRule="auto"/>
    </w:pPr>
    <w:rPr>
      <w:rFonts w:ascii="Times New Roman" w:eastAsia="Times New Roman" w:hAnsi="Times New Roman" w:cs="Times New Roman"/>
      <w:kern w:val="0"/>
      <w:sz w:val="20"/>
      <w:szCs w:val="20"/>
      <w:lang w:val="es-ES" w:eastAsia="es-PE"/>
      <w14:ligatures w14:val="none"/>
    </w:rPr>
  </w:style>
  <w:style w:type="paragraph" w:styleId="Ttulo1">
    <w:name w:val="heading 1"/>
    <w:basedOn w:val="Normal"/>
    <w:next w:val="Normal"/>
    <w:link w:val="Ttulo1Car"/>
    <w:qFormat/>
    <w:rsid w:val="00784CED"/>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4CED"/>
    <w:rPr>
      <w:rFonts w:ascii="Times New Roman" w:eastAsia="Times New Roman" w:hAnsi="Times New Roman" w:cs="Times New Roman"/>
      <w:b/>
      <w:kern w:val="0"/>
      <w:sz w:val="48"/>
      <w:szCs w:val="48"/>
      <w:lang w:val="es-ES" w:eastAsia="es-PE"/>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784CED"/>
    <w:pPr>
      <w:ind w:left="720"/>
      <w:contextualSpacing/>
    </w:pPr>
  </w:style>
  <w:style w:type="character" w:styleId="Hipervnculo">
    <w:name w:val="Hyperlink"/>
    <w:basedOn w:val="Fuentedeprrafopredeter"/>
    <w:uiPriority w:val="99"/>
    <w:unhideWhenUsed/>
    <w:rsid w:val="00784CED"/>
    <w:rPr>
      <w:color w:val="0563C1" w:themeColor="hyperlink"/>
      <w:u w:val="singl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784CED"/>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784CED"/>
    <w:rPr>
      <w:rFonts w:ascii="Times New Roman" w:eastAsia="Times New Roman" w:hAnsi="Times New Roman" w:cs="Times New Roman"/>
      <w:kern w:val="0"/>
      <w:sz w:val="20"/>
      <w:szCs w:val="20"/>
      <w:lang w:val="es-ES" w:eastAsia="es-PE"/>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sid w:val="00784CED"/>
    <w:rPr>
      <w:vertAlign w:val="superscript"/>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locked/>
    <w:rsid w:val="00784CED"/>
    <w:rPr>
      <w:rFonts w:ascii="Times New Roman" w:eastAsia="Times New Roman" w:hAnsi="Times New Roman" w:cs="Times New Roman"/>
      <w:kern w:val="0"/>
      <w:sz w:val="20"/>
      <w:szCs w:val="20"/>
      <w:lang w:val="es-ES" w:eastAsia="es-PE"/>
      <w14:ligatures w14:val="none"/>
    </w:rPr>
  </w:style>
  <w:style w:type="paragraph" w:styleId="Textocomentario">
    <w:name w:val="annotation text"/>
    <w:basedOn w:val="Normal"/>
    <w:link w:val="TextocomentarioCar"/>
    <w:uiPriority w:val="99"/>
    <w:unhideWhenUsed/>
    <w:rsid w:val="00784CED"/>
  </w:style>
  <w:style w:type="character" w:customStyle="1" w:styleId="TextocomentarioCar">
    <w:name w:val="Texto comentario Car"/>
    <w:basedOn w:val="Fuentedeprrafopredeter"/>
    <w:link w:val="Textocomentario"/>
    <w:uiPriority w:val="99"/>
    <w:rsid w:val="00784CED"/>
    <w:rPr>
      <w:rFonts w:ascii="Times New Roman" w:eastAsia="Times New Roman" w:hAnsi="Times New Roman" w:cs="Times New Roman"/>
      <w:kern w:val="0"/>
      <w:sz w:val="20"/>
      <w:szCs w:val="20"/>
      <w:lang w:val="es-ES" w:eastAsia="es-PE"/>
      <w14:ligatures w14:val="none"/>
    </w:rPr>
  </w:style>
  <w:style w:type="character" w:customStyle="1" w:styleId="normaltextrun">
    <w:name w:val="normaltextrun"/>
    <w:basedOn w:val="Fuentedeprrafopredeter"/>
    <w:rsid w:val="00784CED"/>
  </w:style>
  <w:style w:type="character" w:styleId="Ttulodellibro">
    <w:name w:val="Book Title"/>
    <w:basedOn w:val="Fuentedeprrafopredeter"/>
    <w:uiPriority w:val="33"/>
    <w:qFormat/>
    <w:rsid w:val="00784CED"/>
    <w:rPr>
      <w:b/>
      <w:bCs/>
      <w:i/>
      <w:iCs/>
      <w:spacing w:val="5"/>
    </w:rPr>
  </w:style>
  <w:style w:type="paragraph" w:customStyle="1" w:styleId="TableParagraph">
    <w:name w:val="Table Paragraph"/>
    <w:basedOn w:val="Normal"/>
    <w:uiPriority w:val="1"/>
    <w:qFormat/>
    <w:rsid w:val="00784CED"/>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4698</Words>
  <Characters>25845</Characters>
  <Application>Microsoft Office Word</Application>
  <DocSecurity>0</DocSecurity>
  <Lines>215</Lines>
  <Paragraphs>60</Paragraphs>
  <ScaleCrop>false</ScaleCrop>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Alarcón Valladares</dc:creator>
  <cp:keywords/>
  <dc:description/>
  <cp:lastModifiedBy>Vanessa Alarcón Valladares</cp:lastModifiedBy>
  <cp:revision>1</cp:revision>
  <dcterms:created xsi:type="dcterms:W3CDTF">2023-09-15T00:34:00Z</dcterms:created>
  <dcterms:modified xsi:type="dcterms:W3CDTF">2023-09-15T00:37:00Z</dcterms:modified>
</cp:coreProperties>
</file>